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12" w:rsidRPr="00290E14" w:rsidRDefault="00C1749B" w:rsidP="004C372C">
      <w:pPr>
        <w:pStyle w:val="Heading11"/>
        <w:tabs>
          <w:tab w:val="left" w:pos="8768"/>
          <w:tab w:val="left" w:pos="9923"/>
        </w:tabs>
        <w:spacing w:before="70"/>
        <w:ind w:left="6237" w:right="-1"/>
        <w:rPr>
          <w:b w:val="0"/>
          <w:lang w:val="uk-UA"/>
        </w:rPr>
      </w:pPr>
      <w:r w:rsidRPr="00BB5856">
        <w:rPr>
          <w:bCs w:val="0"/>
          <w:spacing w:val="-3"/>
          <w:lang w:val="uk-UA"/>
        </w:rPr>
        <w:t>Додаток</w:t>
      </w:r>
      <w:r w:rsidRPr="00BB5856">
        <w:rPr>
          <w:bCs w:val="0"/>
          <w:lang w:val="uk-UA"/>
        </w:rPr>
        <w:t xml:space="preserve"> №2</w:t>
      </w:r>
      <w:r w:rsidRPr="00290E14">
        <w:rPr>
          <w:b w:val="0"/>
          <w:lang w:val="uk-UA"/>
        </w:rPr>
        <w:t xml:space="preserve"> до </w:t>
      </w:r>
      <w:r w:rsidRPr="00290E14">
        <w:rPr>
          <w:b w:val="0"/>
          <w:spacing w:val="-3"/>
          <w:lang w:val="uk-UA"/>
        </w:rPr>
        <w:t>договору</w:t>
      </w:r>
      <w:r w:rsidRPr="00290E14">
        <w:rPr>
          <w:b w:val="0"/>
          <w:spacing w:val="-8"/>
          <w:lang w:val="uk-UA"/>
        </w:rPr>
        <w:t xml:space="preserve"> </w:t>
      </w:r>
      <w:r w:rsidRPr="00290E14">
        <w:rPr>
          <w:b w:val="0"/>
          <w:lang w:val="uk-UA"/>
        </w:rPr>
        <w:t>про</w:t>
      </w:r>
      <w:r w:rsidRPr="00290E14">
        <w:rPr>
          <w:b w:val="0"/>
          <w:spacing w:val="-3"/>
          <w:lang w:val="uk-UA"/>
        </w:rPr>
        <w:t xml:space="preserve"> </w:t>
      </w:r>
      <w:r w:rsidRPr="00290E14">
        <w:rPr>
          <w:b w:val="0"/>
          <w:lang w:val="uk-UA"/>
        </w:rPr>
        <w:t>по</w:t>
      </w:r>
      <w:r w:rsidRPr="00290E14">
        <w:rPr>
          <w:b w:val="0"/>
          <w:lang w:val="uk-UA"/>
        </w:rPr>
        <w:t>с</w:t>
      </w:r>
      <w:r w:rsidRPr="00290E14">
        <w:rPr>
          <w:b w:val="0"/>
          <w:lang w:val="uk-UA"/>
        </w:rPr>
        <w:t xml:space="preserve">тачання </w:t>
      </w:r>
      <w:r w:rsidR="00AC07FD" w:rsidRPr="00290E14">
        <w:rPr>
          <w:b w:val="0"/>
          <w:lang w:val="uk-UA"/>
        </w:rPr>
        <w:t>е</w:t>
      </w:r>
      <w:r w:rsidRPr="00290E14">
        <w:rPr>
          <w:b w:val="0"/>
          <w:lang w:val="uk-UA"/>
        </w:rPr>
        <w:t>лектричної енергії</w:t>
      </w:r>
      <w:r w:rsidRPr="00290E14">
        <w:rPr>
          <w:b w:val="0"/>
          <w:spacing w:val="-1"/>
          <w:lang w:val="uk-UA"/>
        </w:rPr>
        <w:t xml:space="preserve"> </w:t>
      </w:r>
      <w:r w:rsidRPr="00290E14">
        <w:rPr>
          <w:b w:val="0"/>
          <w:spacing w:val="-3"/>
          <w:lang w:val="uk-UA"/>
        </w:rPr>
        <w:t>сп</w:t>
      </w:r>
      <w:r w:rsidRPr="00290E14">
        <w:rPr>
          <w:b w:val="0"/>
          <w:spacing w:val="-3"/>
          <w:lang w:val="uk-UA"/>
        </w:rPr>
        <w:t>о</w:t>
      </w:r>
      <w:r w:rsidRPr="00290E14">
        <w:rPr>
          <w:b w:val="0"/>
          <w:spacing w:val="-3"/>
          <w:lang w:val="uk-UA"/>
        </w:rPr>
        <w:t>живачу</w:t>
      </w:r>
      <w:r w:rsidRPr="00290E14">
        <w:rPr>
          <w:b w:val="0"/>
          <w:lang w:val="uk-UA"/>
        </w:rPr>
        <w:t xml:space="preserve"> № </w:t>
      </w:r>
      <w:r w:rsidR="003400A9">
        <w:rPr>
          <w:lang w:val="ru-RU"/>
        </w:rPr>
        <w:t>__________</w:t>
      </w:r>
      <w:r w:rsidR="005D1738" w:rsidRPr="005D1738">
        <w:rPr>
          <w:lang w:val="ru-RU"/>
        </w:rPr>
        <w:t>_</w:t>
      </w:r>
      <w:r w:rsidR="00AC07FD" w:rsidRPr="00290E14">
        <w:rPr>
          <w:b w:val="0"/>
          <w:lang w:val="uk-UA"/>
        </w:rPr>
        <w:t xml:space="preserve"> від </w:t>
      </w:r>
      <w:r w:rsidR="005D1738" w:rsidRPr="005D1738">
        <w:rPr>
          <w:b w:val="0"/>
          <w:lang w:val="ru-RU"/>
        </w:rPr>
        <w:t>__</w:t>
      </w:r>
      <w:r w:rsidR="00676CA7">
        <w:rPr>
          <w:b w:val="0"/>
          <w:lang w:val="uk-UA"/>
        </w:rPr>
        <w:t xml:space="preserve"> </w:t>
      </w:r>
      <w:r w:rsidR="00033696">
        <w:rPr>
          <w:b w:val="0"/>
          <w:lang w:val="uk-UA"/>
        </w:rPr>
        <w:t xml:space="preserve">   </w:t>
      </w:r>
      <w:r w:rsidR="00EC0B3E">
        <w:rPr>
          <w:b w:val="0"/>
          <w:lang w:val="uk-UA"/>
        </w:rPr>
        <w:t>жовт</w:t>
      </w:r>
      <w:r w:rsidR="003400A9">
        <w:rPr>
          <w:b w:val="0"/>
          <w:lang w:val="uk-UA"/>
        </w:rPr>
        <w:t>ня</w:t>
      </w:r>
      <w:r w:rsidR="00676CA7">
        <w:rPr>
          <w:b w:val="0"/>
          <w:lang w:val="uk-UA"/>
        </w:rPr>
        <w:t xml:space="preserve"> </w:t>
      </w:r>
      <w:r w:rsidRPr="00290E14">
        <w:rPr>
          <w:b w:val="0"/>
          <w:lang w:val="uk-UA"/>
        </w:rPr>
        <w:t xml:space="preserve"> </w:t>
      </w:r>
      <w:r w:rsidR="00676CA7">
        <w:rPr>
          <w:b w:val="0"/>
          <w:lang w:val="uk-UA"/>
        </w:rPr>
        <w:t>2024</w:t>
      </w:r>
      <w:r w:rsidR="00AC07FD" w:rsidRPr="00290E14">
        <w:rPr>
          <w:b w:val="0"/>
          <w:lang w:val="uk-UA"/>
        </w:rPr>
        <w:t xml:space="preserve"> року</w:t>
      </w:r>
    </w:p>
    <w:p w:rsidR="002039E9" w:rsidRPr="00290E14" w:rsidRDefault="002039E9" w:rsidP="004C372C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90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1749B" w:rsidRPr="00290E14" w:rsidRDefault="00C1749B" w:rsidP="004C372C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90E14">
        <w:rPr>
          <w:rFonts w:ascii="Times New Roman" w:hAnsi="Times New Roman"/>
          <w:b/>
          <w:sz w:val="24"/>
          <w:szCs w:val="24"/>
        </w:rPr>
        <w:t>КОМЕРЦІЙНА ПРОПОЗИЦІЯ</w:t>
      </w:r>
      <w:r w:rsidR="005C58B4" w:rsidRPr="00290E14">
        <w:rPr>
          <w:rFonts w:ascii="Times New Roman" w:hAnsi="Times New Roman"/>
          <w:b/>
          <w:sz w:val="24"/>
          <w:szCs w:val="24"/>
        </w:rPr>
        <w:t xml:space="preserve"> №1</w:t>
      </w:r>
    </w:p>
    <w:p w:rsidR="00C1749B" w:rsidRPr="00BB5856" w:rsidRDefault="00C1749B" w:rsidP="004C372C">
      <w:pPr>
        <w:pStyle w:val="a3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BB5856">
        <w:rPr>
          <w:rFonts w:ascii="Times New Roman" w:hAnsi="Times New Roman"/>
          <w:bCs/>
          <w:sz w:val="24"/>
          <w:szCs w:val="24"/>
        </w:rPr>
        <w:t>до договору про постачання електричної енергії споживачу</w:t>
      </w:r>
    </w:p>
    <w:p w:rsidR="003E1884" w:rsidRPr="00290E14" w:rsidRDefault="003E1884" w:rsidP="004C372C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E1884" w:rsidRPr="00290E14" w:rsidRDefault="003E1884" w:rsidP="009E5032">
      <w:pPr>
        <w:pStyle w:val="a3"/>
        <w:ind w:right="-1"/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Постачальник:</w:t>
      </w:r>
      <w:r w:rsidR="009E5032"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097353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9E5032"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(код </w:t>
      </w:r>
      <w:r w:rsidR="00097353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290E14">
        <w:rPr>
          <w:rStyle w:val="fontstyle01"/>
          <w:rFonts w:ascii="Times New Roman" w:hAnsi="Times New Roman"/>
          <w:b w:val="0"/>
          <w:bCs w:val="0"/>
          <w:color w:val="000000"/>
          <w:sz w:val="24"/>
          <w:szCs w:val="24"/>
        </w:rPr>
        <w:t>)</w:t>
      </w:r>
    </w:p>
    <w:p w:rsidR="003E1884" w:rsidRPr="00290E14" w:rsidRDefault="003E1884" w:rsidP="05D3BD53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290E14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Споживач</w:t>
      </w:r>
      <w:proofErr w:type="spellEnd"/>
      <w:r w:rsidRPr="00290E14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: </w:t>
      </w:r>
      <w:r w:rsidR="001658BA" w:rsidRPr="00290E14">
        <w:rPr>
          <w:rStyle w:val="fontstyle01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>ПУБЛІЧНЕ АКЦІОНЕРНЕ ТОВАРИСТВО «СУМИХІМПРОМ»</w:t>
      </w:r>
      <w:r w:rsidR="002B1425" w:rsidRPr="00290E14">
        <w:rPr>
          <w:sz w:val="24"/>
          <w:szCs w:val="24"/>
        </w:rPr>
        <w:t xml:space="preserve"> </w:t>
      </w:r>
      <w:r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8BA" w:rsidRPr="00290E14">
        <w:rPr>
          <w:rStyle w:val="fontstyle01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(ПАТ</w:t>
      </w:r>
      <w:r w:rsidR="001658BA"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1658BA" w:rsidRPr="00290E14">
        <w:rPr>
          <w:rStyle w:val="fontstyle01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>СУМ</w:t>
      </w:r>
      <w:r w:rsidR="001658BA" w:rsidRPr="00290E14">
        <w:rPr>
          <w:rStyle w:val="fontstyle01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>И</w:t>
      </w:r>
      <w:r w:rsidR="001658BA" w:rsidRPr="00290E14">
        <w:rPr>
          <w:rStyle w:val="fontstyle01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>ХІМПРОМ</w:t>
      </w:r>
      <w:r w:rsidR="001658BA"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8BA"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90E14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90E14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код ЄДРПОУ </w:t>
      </w:r>
      <w:r w:rsidR="001658BA" w:rsidRPr="00290E14">
        <w:rPr>
          <w:rFonts w:ascii="Times New Roman" w:eastAsia="Times New Roman" w:hAnsi="Times New Roman"/>
          <w:sz w:val="24"/>
          <w:szCs w:val="24"/>
        </w:rPr>
        <w:t>05766356</w:t>
      </w:r>
      <w:r w:rsidR="002B1425" w:rsidRPr="00290E1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0E14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</w:t>
      </w:r>
    </w:p>
    <w:p w:rsidR="002B1425" w:rsidRPr="00290E14" w:rsidRDefault="0063498B" w:rsidP="002B1425">
      <w:pPr>
        <w:pStyle w:val="a9"/>
        <w:ind w:right="-1"/>
        <w:rPr>
          <w:rStyle w:val="fontstyle21"/>
          <w:rFonts w:ascii="Times New Roman" w:hAnsi="Times New Roman" w:cs="Times New Roman"/>
          <w:color w:val="000000"/>
          <w:sz w:val="24"/>
          <w:szCs w:val="24"/>
        </w:rPr>
      </w:pP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Дана комерційна пропозиція розроблена відповідно до норм Закону України «Про ринок еле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к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тричної енергії»,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ь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них послуг, від 14.03.2018 №312 (далі – </w:t>
      </w:r>
      <w:r w:rsidR="00953E07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Правила роздрібного ринку),</w:t>
      </w:r>
      <w:r w:rsidR="005C58B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 інших нормативно-правових актів</w:t>
      </w:r>
      <w:r w:rsidR="003E188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.</w:t>
      </w:r>
      <w:r w:rsidR="005C58B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498B" w:rsidRPr="00290E14" w:rsidRDefault="0063498B" w:rsidP="002B1425">
      <w:pPr>
        <w:pStyle w:val="a9"/>
        <w:ind w:right="-1"/>
        <w:rPr>
          <w:rStyle w:val="fontstyle21"/>
          <w:rFonts w:ascii="Times New Roman" w:hAnsi="Times New Roman" w:cs="Times New Roman"/>
          <w:color w:val="000000"/>
          <w:sz w:val="24"/>
          <w:szCs w:val="24"/>
        </w:rPr>
      </w:pP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Предмет комерційної пропозиції:</w:t>
      </w:r>
      <w:r w:rsidR="00953E07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остачання електричної енергії</w:t>
      </w:r>
      <w:r w:rsidR="00C62E8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</w:rPr>
        <w:t>споживачу</w:t>
      </w:r>
    </w:p>
    <w:p w:rsidR="00AB6A74" w:rsidRPr="00290E14" w:rsidRDefault="008611F7" w:rsidP="00D140B5">
      <w:pPr>
        <w:ind w:right="-1"/>
        <w:jc w:val="both"/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Комерційна пропозиція </w:t>
      </w:r>
      <w:r w:rsidR="009101C4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пропонується на </w:t>
      </w:r>
      <w:r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>території здійснення діяльності оператора системи</w:t>
      </w:r>
      <w:r w:rsidR="00910565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9839B6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10565" w:rsidRPr="00290E14">
        <w:rPr>
          <w:rStyle w:val="fontstyle21"/>
          <w:rFonts w:ascii="Times New Roman" w:hAnsi="Times New Roman" w:cs="Times New Roman"/>
          <w:color w:val="000000"/>
          <w:sz w:val="24"/>
          <w:szCs w:val="24"/>
          <w:lang w:val="uk-UA"/>
        </w:rPr>
        <w:t>окрім тимчасово окупованої території України</w:t>
      </w:r>
      <w:bookmarkStart w:id="0" w:name="n2429"/>
      <w:bookmarkStart w:id="1" w:name="n2431"/>
      <w:bookmarkStart w:id="2" w:name="n2432"/>
      <w:bookmarkStart w:id="3" w:name="n2433"/>
      <w:bookmarkStart w:id="4" w:name="n2434"/>
      <w:bookmarkStart w:id="5" w:name="n2436"/>
      <w:bookmarkStart w:id="6" w:name="n2437"/>
      <w:bookmarkStart w:id="7" w:name="n2440"/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a5"/>
        <w:tblW w:w="10060" w:type="dxa"/>
        <w:jc w:val="center"/>
        <w:tblLook w:val="04A0"/>
      </w:tblPr>
      <w:tblGrid>
        <w:gridCol w:w="2136"/>
        <w:gridCol w:w="7924"/>
      </w:tblGrid>
      <w:tr w:rsidR="0063498B" w:rsidRPr="00290E14" w:rsidTr="05D3BD53">
        <w:trPr>
          <w:jc w:val="center"/>
        </w:trPr>
        <w:tc>
          <w:tcPr>
            <w:tcW w:w="2122" w:type="dxa"/>
            <w:vAlign w:val="center"/>
          </w:tcPr>
          <w:p w:rsidR="0063498B" w:rsidRPr="00290E14" w:rsidRDefault="00F469C1" w:rsidP="004C372C">
            <w:pPr>
              <w:pStyle w:val="a3"/>
              <w:ind w:right="-1"/>
              <w:rPr>
                <w:rStyle w:val="fontstyle21"/>
                <w:rFonts w:ascii="Times New Roman" w:hAnsi="Times New Roman"/>
                <w:color w:val="000000"/>
                <w:sz w:val="24"/>
                <w:szCs w:val="24"/>
              </w:rPr>
            </w:pPr>
            <w:r w:rsidRPr="00290E14">
              <w:rPr>
                <w:rStyle w:val="fontstyle21"/>
                <w:rFonts w:ascii="Times New Roman" w:hAnsi="Times New Roman"/>
                <w:color w:val="000000"/>
                <w:sz w:val="24"/>
                <w:szCs w:val="24"/>
              </w:rPr>
              <w:t>Умов</w:t>
            </w:r>
            <w:r w:rsidR="007D502C" w:rsidRPr="00290E14">
              <w:rPr>
                <w:rStyle w:val="fontstyle21"/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938" w:type="dxa"/>
            <w:vAlign w:val="center"/>
          </w:tcPr>
          <w:p w:rsidR="0063498B" w:rsidRPr="00290E14" w:rsidRDefault="007D502C" w:rsidP="004C372C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90E14">
              <w:rPr>
                <w:rFonts w:ascii="Times New Roman" w:hAnsi="Times New Roman"/>
                <w:sz w:val="24"/>
                <w:szCs w:val="24"/>
              </w:rPr>
              <w:t>Пропозиція</w:t>
            </w: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3"/>
              <w:numPr>
                <w:ilvl w:val="0"/>
                <w:numId w:val="17"/>
              </w:numPr>
              <w:ind w:left="0" w:right="-1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0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Ціна на електричну ене</w:t>
            </w:r>
            <w:r w:rsidRPr="00290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290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гію</w:t>
            </w:r>
          </w:p>
          <w:p w:rsidR="002B1425" w:rsidRPr="00290E14" w:rsidRDefault="002B1425" w:rsidP="002B1425">
            <w:pPr>
              <w:pStyle w:val="a3"/>
              <w:ind w:right="-1"/>
              <w:rPr>
                <w:rStyle w:val="fontstyle21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B1425" w:rsidRPr="00290E14" w:rsidRDefault="002B1425" w:rsidP="002B1425">
            <w:pPr>
              <w:pStyle w:val="a3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pStyle w:val="a3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Фактична ціна електричної енергії 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total</m:t>
                  </m:r>
                </m:sub>
              </m:sSub>
              <m:r>
                <w:rPr>
                  <w:rFonts w:ascii="Cambria Math" w:hAnsi="Cambria Math" w:cstheme="majorHAnsi"/>
                  <w:sz w:val="24"/>
                  <w:szCs w:val="24"/>
                </w:rPr>
                <m:t xml:space="preserve">) </m:t>
              </m:r>
            </m:oMath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 1кВт.год на розрахунковий період для групи А визначається за формулою (без ПДВ</w:t>
            </w:r>
            <w:r w:rsidRPr="00290E14">
              <w:rPr>
                <w:rFonts w:ascii="Times New Roman" w:hAnsi="Times New Roman"/>
                <w:bCs/>
                <w:sz w:val="24"/>
                <w:szCs w:val="24"/>
              </w:rPr>
              <w:t>), грн.:</w:t>
            </w:r>
          </w:p>
          <w:p w:rsidR="002B1425" w:rsidRPr="00290E14" w:rsidRDefault="002B1425" w:rsidP="002B1425">
            <w:pPr>
              <w:pStyle w:val="a3"/>
              <w:ind w:right="-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2B1425" w:rsidRPr="00290E14" w:rsidRDefault="00691B67" w:rsidP="002B1425">
            <w:pPr>
              <w:tabs>
                <w:tab w:val="left" w:pos="4680"/>
                <w:tab w:val="center" w:pos="5116"/>
                <w:tab w:val="right" w:pos="9355"/>
              </w:tabs>
              <w:jc w:val="both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total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РДН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∙</m:t>
                </m:r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)+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осп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 xml:space="preserve"> </m:t>
                </m:r>
              </m:oMath>
            </m:oMathPara>
          </w:p>
          <w:p w:rsidR="002B1425" w:rsidRPr="00290E14" w:rsidRDefault="002B1425" w:rsidP="002B1425">
            <w:pPr>
              <w:tabs>
                <w:tab w:val="left" w:pos="4680"/>
                <w:tab w:val="center" w:pos="5116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 </w:t>
            </w:r>
          </w:p>
          <w:p w:rsidR="002B1425" w:rsidRPr="00290E14" w:rsidRDefault="00691B67" w:rsidP="002B1425">
            <w:pPr>
              <w:tabs>
                <w:tab w:val="left" w:pos="4680"/>
                <w:tab w:val="center" w:pos="5116"/>
                <w:tab w:val="right" w:pos="9355"/>
              </w:tabs>
              <w:jc w:val="both"/>
              <w:rPr>
                <w:rFonts w:asciiTheme="majorHAnsi" w:eastAsiaTheme="minorEastAsia" w:hAnsiTheme="majorHAnsi" w:cstheme="majorHAnsi"/>
                <w:bCs/>
                <w:i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РДН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sz w:val="24"/>
                        <w:szCs w:val="24"/>
                        <w:lang w:val="uk-UA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theme="majorHAnsi"/>
                            <w:bCs/>
                            <w:sz w:val="24"/>
                            <w:szCs w:val="24"/>
                            <w:lang w:val="uk-UA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bCs/>
                                <w:sz w:val="24"/>
                                <w:szCs w:val="24"/>
                                <w:lang w:val="uk-U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uk-U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uk-UA"/>
                              </w:rPr>
                              <m:t>hd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uk-UA"/>
                              </w:rPr>
                              <m:t>РДН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uk-UA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bCs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sz w:val="24"/>
                                    <w:szCs w:val="24"/>
                                    <w:lang w:val="uk-UA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  <w:lang w:val="uk-UA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  <w:lang w:val="uk-UA"/>
                                  </w:rPr>
                                  <m:t>hd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  <w:lang w:val="uk-UA"/>
                                  </w:rPr>
                                  <m:t xml:space="preserve"> </m:t>
                                </m:r>
                              </m:sup>
                            </m:sSubSup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  <w:lang w:val="uk-UA"/>
                              </w:rPr>
                              <m:t xml:space="preserve"> </m:t>
                            </m:r>
                          </m:sup>
                        </m:sSup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uk-U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sub>
                    </m:sSub>
                  </m:den>
                </m:f>
              </m:oMath>
            </m:oMathPara>
          </w:p>
          <w:p w:rsidR="002B1425" w:rsidRPr="00290E14" w:rsidRDefault="002B1425" w:rsidP="002B1425">
            <w:pPr>
              <w:pStyle w:val="TableParagraph"/>
              <w:spacing w:before="236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0E14">
              <w:rPr>
                <w:rFonts w:ascii="Cambria Math" w:eastAsia="Cambria Math" w:hAnsi="Cambria Math" w:cs="Cambria Math"/>
                <w:bCs/>
                <w:i/>
                <w:iCs/>
                <w:sz w:val="24"/>
                <w:szCs w:val="24"/>
                <w:lang w:val="ru-RU"/>
              </w:rPr>
              <w:t xml:space="preserve">С </w:t>
            </w:r>
            <w:r w:rsidRPr="00DA29C2">
              <w:rPr>
                <w:rFonts w:ascii="Cambria Math" w:eastAsia="Cambria Math" w:hAnsi="Cambria Math" w:cs="Cambria Math"/>
                <w:bCs/>
                <w:sz w:val="16"/>
                <w:szCs w:val="16"/>
                <w:lang w:val="ru-RU"/>
              </w:rPr>
              <w:t>РДН</w:t>
            </w:r>
            <w:r w:rsidRPr="00290E14">
              <w:rPr>
                <w:rFonts w:eastAsia="Cambria Math"/>
                <w:bCs/>
                <w:spacing w:val="10"/>
                <w:sz w:val="24"/>
                <w:szCs w:val="24"/>
              </w:rPr>
              <w:t xml:space="preserve"> </w:t>
            </w:r>
            <w:r w:rsidRPr="00290E14">
              <w:rPr>
                <w:rFonts w:eastAsia="Cambria Math"/>
                <w:bCs/>
                <w:sz w:val="24"/>
                <w:szCs w:val="24"/>
              </w:rPr>
              <w:t>−</w:t>
            </w:r>
            <w:r w:rsidRPr="00290E14">
              <w:rPr>
                <w:rFonts w:eastAsia="Cambria Math"/>
                <w:bCs/>
                <w:spacing w:val="-2"/>
                <w:sz w:val="24"/>
                <w:szCs w:val="24"/>
              </w:rPr>
              <w:t xml:space="preserve"> </w:t>
            </w:r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закупівельна ціна електроенергії згідно фактичного графі</w:t>
            </w:r>
            <w:proofErr w:type="gramStart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ку та</w:t>
            </w:r>
            <w:proofErr w:type="gramEnd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об’єму Споживача, </w:t>
            </w:r>
            <w:proofErr w:type="spellStart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кВт∙год</w:t>
            </w:r>
            <w:proofErr w:type="spellEnd"/>
            <w:r w:rsidRPr="00290E14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2B1425" w:rsidRPr="00290E14" w:rsidRDefault="00691B67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hd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РДН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 xml:space="preserve">- 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ціна електричної енергії h-тої години d-того розрахункового дня на РДН, грн/кВт∙г; </w:t>
            </w:r>
          </w:p>
          <w:p w:rsidR="002B1425" w:rsidRPr="00290E14" w:rsidRDefault="00691B67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hd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>–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обсяг електричної енергії h-тої години d-того розрахункового дня згідно фактичного графіку Споживача, кВт∙г;</w:t>
            </w:r>
          </w:p>
          <w:p w:rsidR="002B1425" w:rsidRPr="00290E14" w:rsidRDefault="00691B67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 xml:space="preserve">ф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 xml:space="preserve"> 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>–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сумарний фактичний обсяг споживання електричної енергії у розр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хунковому періоді, </w:t>
            </w:r>
            <w:proofErr w:type="spellStart"/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кВт∙г</w:t>
            </w:r>
            <w:proofErr w:type="spellEnd"/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2B1425" w:rsidRPr="00290E14" w:rsidRDefault="001658BA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uk-UA"/>
                </w:rPr>
                <m:t>-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коефіцієнт постачальника,;</w:t>
            </w:r>
          </w:p>
          <w:p w:rsidR="002B1425" w:rsidRPr="00290E14" w:rsidRDefault="00691B67" w:rsidP="002B1425">
            <w:pPr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uk-UA"/>
                    </w:rPr>
                    <m:t>осп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sz w:val="24"/>
                  <w:szCs w:val="24"/>
                  <w:lang w:val="uk-UA"/>
                </w:rPr>
                <m:t xml:space="preserve">- </m:t>
              </m:r>
            </m:oMath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тариф за послуги передачі електричної енергії мережами НЕК «У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ренерго», затверджений НКРЕКП та опублікований на сайті: </w:t>
            </w:r>
            <w:hyperlink r:id="rId11" w:tgtFrame="_blank" w:history="1">
              <w:r w:rsidR="002B1425" w:rsidRPr="00290E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uk-UA"/>
                </w:rPr>
                <w:t>https://www.nerc.gov.ua/?id=51970</w:t>
              </w:r>
            </w:hyperlink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 грн./кВт*г;</w:t>
            </w:r>
          </w:p>
          <w:p w:rsidR="001658BA" w:rsidRPr="00290E14" w:rsidRDefault="001658BA" w:rsidP="002B1425">
            <w:pPr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2B1425" w:rsidRPr="00290E14" w:rsidRDefault="002B1425" w:rsidP="002B1425">
            <w:pPr>
              <w:pStyle w:val="a3"/>
              <w:ind w:right="-1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Фактична ціна електричної енергії (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HAnsi" w:hAnsi="Cambria Math"/>
                      <w:color w:val="000000" w:themeColor="text1"/>
                      <w:sz w:val="24"/>
                      <w:szCs w:val="24"/>
                    </w:rPr>
                    <m:t>total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4"/>
                  <w:szCs w:val="24"/>
                </w:rPr>
                <m:t xml:space="preserve">) </m:t>
              </m:r>
            </m:oMath>
            <w:r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за 1кВт.год на розрахунковий період для групи Б визначається за формулою (без ПДВ), грн.:</w:t>
            </w:r>
          </w:p>
          <w:p w:rsidR="002B1425" w:rsidRPr="00290E14" w:rsidRDefault="002B1425" w:rsidP="002B1425">
            <w:pPr>
              <w:pStyle w:val="a3"/>
              <w:ind w:right="-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2B1425" w:rsidRPr="00290E14" w:rsidRDefault="00691B67" w:rsidP="002B1425">
            <w:pPr>
              <w:tabs>
                <w:tab w:val="left" w:pos="4680"/>
                <w:tab w:val="center" w:pos="5116"/>
                <w:tab w:val="right" w:pos="9355"/>
              </w:tabs>
              <w:jc w:val="both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total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(C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РДН 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∙</m:t>
                </m:r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>K)+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uk-UA"/>
                      </w:rPr>
                      <m:t>осп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uk-UA"/>
                  </w:rPr>
                  <m:t xml:space="preserve">  </m:t>
                </m:r>
              </m:oMath>
            </m:oMathPara>
          </w:p>
          <w:p w:rsidR="002B1425" w:rsidRPr="006B5BC0" w:rsidRDefault="002B1425" w:rsidP="002B1425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B5B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де</w:t>
            </w:r>
          </w:p>
          <w:p w:rsidR="002B1425" w:rsidRPr="00290E14" w:rsidRDefault="00691B67" w:rsidP="002B1425">
            <w:pPr>
              <w:pStyle w:val="a3"/>
              <w:ind w:right="-1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 xml:space="preserve"> РДН Б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- </m:t>
              </m:r>
            </m:oMath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середньозважена ціна на ринку на добу наперед за розрахунковий  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період, </w:t>
            </w:r>
            <w:proofErr w:type="spellStart"/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кВт</w:t>
            </w:r>
            <w:r w:rsidR="002B1425" w:rsidRPr="00290E14">
              <w:rPr>
                <w:rFonts w:ascii="Cambria Math" w:eastAsiaTheme="minorHAnsi" w:hAnsi="Cambria Math" w:cs="Cambria Math"/>
                <w:bCs/>
                <w:color w:val="000000" w:themeColor="text1"/>
                <w:sz w:val="24"/>
                <w:szCs w:val="24"/>
              </w:rPr>
              <w:t>⋅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2B1425" w:rsidRPr="00290E14" w:rsidRDefault="001658BA" w:rsidP="002B1425">
            <w:pPr>
              <w:pStyle w:val="a3"/>
              <w:ind w:right="-1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HAnsi" w:hAnsi="Cambria Math"/>
                  <w:color w:val="000000" w:themeColor="text1"/>
                  <w:sz w:val="24"/>
                  <w:szCs w:val="24"/>
                </w:rPr>
                <m:t>K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4"/>
                  <w:szCs w:val="24"/>
                </w:rPr>
                <m:t>-</m:t>
              </m:r>
            </m:oMath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коефіцієнт постачальника,;</w:t>
            </w:r>
          </w:p>
          <w:p w:rsidR="002B1425" w:rsidRDefault="00691B67" w:rsidP="001658BA">
            <w:pPr>
              <w:pStyle w:val="a3"/>
              <w:ind w:right="-1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color w:val="000000" w:themeColor="text1"/>
                      <w:sz w:val="24"/>
                      <w:szCs w:val="24"/>
                    </w:rPr>
                    <m:t>осп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4"/>
                  <w:szCs w:val="24"/>
                </w:rPr>
                <m:t>-</m:t>
              </m:r>
            </m:oMath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тариф за послуги передачі електричної енергії мережами НЕК «У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ренерго», затверджений НКРЕКП та опублікований на сайті: </w:t>
            </w:r>
            <w:hyperlink r:id="rId12" w:history="1">
              <w:r w:rsidR="00F36A35" w:rsidRPr="00290E1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https://www.nerc.gov.ua/?id=51970</w:t>
              </w:r>
            </w:hyperlink>
            <w:r w:rsidR="00F36A35" w:rsidRPr="00290E14">
              <w:rPr>
                <w:rStyle w:val="a6"/>
                <w:sz w:val="24"/>
                <w:szCs w:val="24"/>
              </w:rPr>
              <w:t>,</w:t>
            </w:r>
            <w:r w:rsidR="002B1425" w:rsidRPr="00290E14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грн./кВт*г;</w:t>
            </w:r>
          </w:p>
          <w:p w:rsidR="00290E14" w:rsidRPr="00290E14" w:rsidRDefault="00290E14" w:rsidP="001658BA">
            <w:pPr>
              <w:pStyle w:val="a3"/>
              <w:ind w:right="-1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Порядок  розрахунку розм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 оплати за ро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рахунковий пер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од</w:t>
            </w: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Розрахунковим періодом є календарний місяць.</w:t>
            </w:r>
          </w:p>
          <w:p w:rsidR="002B1425" w:rsidRPr="00290E14" w:rsidRDefault="002B1425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Оплата електричної енергії здійснюється Споживачем як попередня оплата, що розраховується як вартість планового (прогнозного) обсягу електричної енергії за формулою: </w:t>
            </w:r>
          </w:p>
          <w:p w:rsidR="002B1425" w:rsidRPr="00290E14" w:rsidRDefault="00691B67" w:rsidP="002B1425">
            <w:pPr>
              <w:ind w:right="-1" w:firstLine="460"/>
              <w:jc w:val="center"/>
              <w:rPr>
                <w:rStyle w:val="fontstyle21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Style w:val="fontstyle21"/>
                  <w:rFonts w:ascii="Cambria Math" w:hAnsi="Cambria Math" w:cs="Times New Roman"/>
                  <w:color w:val="000000"/>
                  <w:sz w:val="24"/>
                  <w:szCs w:val="24"/>
                  <w:lang w:val="uk-UA"/>
                </w:rPr>
                <m:t>=</m:t>
              </m:r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W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</m:t>
                  </m:r>
                </m:sub>
              </m:sSub>
              <m:r>
                <w:rPr>
                  <w:rStyle w:val="fontstyle21"/>
                  <w:rFonts w:ascii="Cambria Math" w:hAnsi="Cambria Math" w:cs="Times New Roman"/>
                  <w:color w:val="000000"/>
                  <w:sz w:val="24"/>
                  <w:szCs w:val="24"/>
                  <w:lang w:val="uk-UA"/>
                </w:rPr>
                <m:t xml:space="preserve">* </m:t>
              </m:r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C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</m:t>
                  </m:r>
                </m:sub>
              </m:sSub>
            </m:oMath>
            <w:r w:rsidR="002B1425" w:rsidRPr="00290E14">
              <w:rPr>
                <w:rStyle w:val="fontstyle21"/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, </w:t>
            </w:r>
            <w:r w:rsidR="002B1425" w:rsidRPr="00290E14">
              <w:rPr>
                <w:rStyle w:val="fontstyle21"/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де</w:t>
            </w:r>
          </w:p>
          <w:p w:rsidR="002B1425" w:rsidRPr="00290E14" w:rsidRDefault="00691B67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- вартість планового (прогнозного) обсягу електричної енергії (далі – Попередня оплата);</w:t>
            </w:r>
          </w:p>
          <w:p w:rsidR="002B1425" w:rsidRPr="00290E14" w:rsidRDefault="00691B67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C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</m:t>
                  </m:r>
                </m:sub>
              </m:sSub>
            </m:oMath>
            <w:r w:rsidR="002B1425" w:rsidRPr="00290E1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– планова ціна електричної енергії з урахуванням усіх необхідних податків і платежів відповідно до законодавства України та інших норм</w:t>
            </w:r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тивно-правових актів, грн.</w:t>
            </w:r>
            <w:r w:rsidR="002B1425"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/кВт*г</w:t>
            </w:r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2B1425" w:rsidRPr="00290E14" w:rsidRDefault="00691B67" w:rsidP="002B1425">
            <w:pPr>
              <w:ind w:right="-1" w:firstLine="460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Style w:val="fontstyle21"/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W</m:t>
                  </m:r>
                </m:e>
                <m:sub>
                  <m:r>
                    <w:rPr>
                      <w:rStyle w:val="fontstyle21"/>
                      <w:rFonts w:ascii="Cambria Math" w:hAnsi="Cambria Math" w:cs="Times New Roman"/>
                      <w:color w:val="000000"/>
                      <w:sz w:val="24"/>
                      <w:szCs w:val="24"/>
                      <w:lang w:val="uk-UA"/>
                    </w:rPr>
                    <m:t>p</m:t>
                  </m:r>
                </m:sub>
              </m:sSub>
            </m:oMath>
            <w:r w:rsidR="002B1425"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– заявлений (плановий/прогнозний) Споживачем обсяг постачання електричної енергії у відповідному розрахунковому періоді, кВт.год.</w:t>
            </w:r>
          </w:p>
          <w:p w:rsidR="002B1425" w:rsidRPr="00290E14" w:rsidRDefault="002B1425" w:rsidP="002B142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     </w:t>
            </w:r>
            <w:r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При виконанні </w:t>
            </w:r>
            <w:r w:rsidR="00290E14"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оплати</w:t>
            </w:r>
            <w:r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за електричну енергію додається ПДВ за ста</w:t>
            </w:r>
            <w:r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</w:t>
            </w:r>
            <w:r w:rsidRPr="00290E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кою, що діє у періоді виконання розрахунків.</w:t>
            </w:r>
          </w:p>
          <w:p w:rsidR="002B1425" w:rsidRPr="00290E14" w:rsidRDefault="002B1425" w:rsidP="002B1425">
            <w:pPr>
              <w:ind w:right="-1" w:firstLine="462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Остаточна вартість електричної енергії за розрахунковий період в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значається як обсяги фактично відпущеної (спожитої) електричної енергії за розрахунковий період згідно з даними комерційного обліку помножені на фактичні ціни визначені в цій </w:t>
            </w:r>
            <w:proofErr w:type="spellStart"/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2B1425" w:rsidRPr="00290E14" w:rsidRDefault="002B1425" w:rsidP="002B1425">
            <w:pPr>
              <w:ind w:right="-1"/>
              <w:rPr>
                <w:rStyle w:val="fontstyle21"/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     Остаточний розмір вартості електричної енергії та платежу за факти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ний обсяг споживання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електричної енергії за розрахунковий період розр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ховується Постачальником на підставі ціни </w:t>
            </w:r>
            <w:proofErr w:type="spellStart"/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C_post</w:t>
            </w:r>
            <w:proofErr w:type="spellEnd"/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за цей розрахунковий період помноженій на фактичний обсяг споживання електричної енергії за цей період. </w:t>
            </w:r>
          </w:p>
          <w:p w:rsidR="002B1425" w:rsidRPr="00290E14" w:rsidRDefault="002B1425" w:rsidP="002B1425">
            <w:pPr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       У разі, якщо попередня оплата, що оплачена Споживачем за розрах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нковий період, перевищує вартість фактичного обсягу електричної енергії, що спожита Споживачем за цей розрахунковий період, така переплата зараховується Постачальником за такою черговістю:</w:t>
            </w:r>
          </w:p>
          <w:p w:rsidR="002B1425" w:rsidRPr="00290E14" w:rsidRDefault="002B1425" w:rsidP="002B1425">
            <w:pPr>
              <w:pStyle w:val="a7"/>
              <w:numPr>
                <w:ilvl w:val="0"/>
                <w:numId w:val="12"/>
              </w:numPr>
              <w:ind w:right="-1"/>
              <w:jc w:val="both"/>
              <w:rPr>
                <w:bCs/>
                <w:sz w:val="24"/>
                <w:szCs w:val="24"/>
                <w:lang w:val="uk-UA"/>
              </w:rPr>
            </w:pPr>
            <w:r w:rsidRPr="00290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як оплата пені та/або штрафних санкцій за Договором, у випадку їх наявності;</w:t>
            </w:r>
          </w:p>
          <w:p w:rsidR="002B1425" w:rsidRPr="00290E14" w:rsidRDefault="002B1425" w:rsidP="002B1425">
            <w:pPr>
              <w:pStyle w:val="a7"/>
              <w:numPr>
                <w:ilvl w:val="0"/>
                <w:numId w:val="12"/>
              </w:numPr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як оплата заборгованості споживача за попередні розрахункові п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е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ріоди;</w:t>
            </w:r>
          </w:p>
          <w:p w:rsidR="002B1425" w:rsidRPr="00290E14" w:rsidRDefault="002B1425" w:rsidP="002B1425">
            <w:pPr>
              <w:pStyle w:val="a7"/>
              <w:numPr>
                <w:ilvl w:val="0"/>
                <w:numId w:val="12"/>
              </w:numPr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як попередня оплата наступного розрахункового періоду, якщо ві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сутня заборгованість споживача та, за умови якщо споживач не звернувся із письмовою заявою про повернення такої переплати.</w:t>
            </w:r>
          </w:p>
          <w:p w:rsidR="00290E14" w:rsidRPr="00290E14" w:rsidRDefault="00290E14" w:rsidP="00A00459">
            <w:pPr>
              <w:pStyle w:val="a7"/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Порядок оплати платежів</w:t>
            </w:r>
          </w:p>
        </w:tc>
        <w:tc>
          <w:tcPr>
            <w:tcW w:w="7938" w:type="dxa"/>
            <w:vAlign w:val="center"/>
          </w:tcPr>
          <w:p w:rsidR="002B1425" w:rsidRDefault="002B1425" w:rsidP="002B1425">
            <w:pPr>
              <w:pStyle w:val="a7"/>
              <w:numPr>
                <w:ilvl w:val="0"/>
                <w:numId w:val="16"/>
              </w:numPr>
              <w:ind w:left="316" w:right="-1" w:hanging="316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Планові платежі сплачуються Споживачем на підставі виставленого Постачальником рахунку у строк: </w:t>
            </w:r>
          </w:p>
          <w:p w:rsidR="003400A9" w:rsidRPr="005D1738" w:rsidRDefault="003400A9" w:rsidP="006B5BC0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34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Перший платіж -  не пізніше ніж за п’ять календарних днів до початку місяця, що переду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є розрахунковому періоді, в розмірі 30% від суми, з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значеної в рахунку ві</w:t>
            </w:r>
            <w:r w:rsidR="00A00459"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д Постачальника згідно п.</w:t>
            </w:r>
            <w:r w:rsidR="00EF41B7"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2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цього розділу; </w:t>
            </w:r>
          </w:p>
          <w:p w:rsidR="006B5BC0" w:rsidRPr="005D1738" w:rsidRDefault="006B5BC0" w:rsidP="006B5BC0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Другий платіж – 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не пізніше ніж </w:t>
            </w:r>
            <w:r w:rsidR="00DA29C2"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до 10го числа в розрахунковому періоді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, в розмірі </w:t>
            </w:r>
            <w:r w:rsidR="00704A5E"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</w:t>
            </w:r>
            <w:r w:rsidR="00DA29C2"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% від суми, зазначеної в рахунку від Постачальника згідно п.</w:t>
            </w:r>
            <w:r w:rsidR="00EF41B7" w:rsidRPr="005D1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цього розділу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; </w:t>
            </w:r>
          </w:p>
          <w:p w:rsidR="00DA29C2" w:rsidRDefault="00DA29C2" w:rsidP="00DA29C2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Третій платіж – 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не пізніше ніж до 20го числа в розрахунковому періоді, в розмірі </w:t>
            </w:r>
            <w:r w:rsidR="00704A5E" w:rsidRPr="005D1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5% від суми, зазначеної в рахунку від Постачальника згідно п.</w:t>
            </w:r>
            <w:r w:rsidR="00EF41B7" w:rsidRPr="005D1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5D173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цього розділу</w:t>
            </w:r>
            <w:r w:rsidRPr="005D1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;</w:t>
            </w: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2B1425" w:rsidRPr="00290E14" w:rsidRDefault="002B1425" w:rsidP="002B1425">
            <w:pPr>
              <w:tabs>
                <w:tab w:val="left" w:pos="426"/>
              </w:tabs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2.Споживач здійснює остаточні розрахунки за період постачання (кале</w:t>
            </w: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дарний місяць) із Постачальником протягом 5 (п’яти) робочих днів з дня </w:t>
            </w: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отримання ним акту приймання-передачі електричної енергії та рахунку за фактично спожиту електричну енергію на підставі остаточного розміру вартості електричної енергії </w:t>
            </w:r>
            <w:r w:rsidRPr="00290E1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але не пізніше 20 (двадцятого) числа місяця, наступного за розрахунковим.</w:t>
            </w:r>
          </w:p>
          <w:p w:rsidR="00290E14" w:rsidRPr="00290E14" w:rsidRDefault="002B1425" w:rsidP="002B1425">
            <w:pPr>
              <w:tabs>
                <w:tab w:val="left" w:pos="426"/>
              </w:tabs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290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3.Умови обміну та отримання документів визначено Договором</w:t>
            </w:r>
            <w:r w:rsidRPr="00290E1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Т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ермін (строк) виста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лення рахунку за спожиту електр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чну енергію та термін (строк) його оплати</w:t>
            </w:r>
          </w:p>
          <w:p w:rsidR="002B1425" w:rsidRPr="00290E14" w:rsidRDefault="002B1425" w:rsidP="002B142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pStyle w:val="2"/>
              <w:ind w:right="-1"/>
              <w:rPr>
                <w:bCs/>
              </w:rPr>
            </w:pPr>
            <w:r w:rsidRPr="00290E14">
              <w:rPr>
                <w:bCs/>
              </w:rPr>
              <w:t>Постачальник складає  акт приймання-передачі електричної енергії  та рахунок на підставі  фактичних даних обсягів електричної енергії відпов</w:t>
            </w:r>
            <w:r w:rsidRPr="00290E14">
              <w:rPr>
                <w:bCs/>
              </w:rPr>
              <w:t>і</w:t>
            </w:r>
            <w:r w:rsidRPr="00290E14">
              <w:rPr>
                <w:bCs/>
              </w:rPr>
              <w:t>дно до  погодинного графіку споживання електричної енергії Споживача за розрахунковий  період та  цін на електричну енергію, що розраховуют</w:t>
            </w:r>
            <w:r w:rsidRPr="00290E14">
              <w:rPr>
                <w:bCs/>
              </w:rPr>
              <w:t>ь</w:t>
            </w:r>
            <w:r w:rsidRPr="00290E14">
              <w:rPr>
                <w:bCs/>
              </w:rPr>
              <w:t xml:space="preserve">ся відповідно до пункту 1 цієї Комерційної пропозиції. </w:t>
            </w:r>
          </w:p>
          <w:p w:rsidR="002B1425" w:rsidRPr="00290E14" w:rsidRDefault="002B1425" w:rsidP="002B1425">
            <w:pPr>
              <w:pStyle w:val="2"/>
              <w:ind w:right="-1"/>
              <w:rPr>
                <w:bCs/>
                <w:color w:val="000000" w:themeColor="text1"/>
              </w:rPr>
            </w:pPr>
            <w:r w:rsidRPr="00290E14">
              <w:rPr>
                <w:bCs/>
              </w:rPr>
              <w:t>Акт приймання-передачі електричної енергії надається Постачальником Споживачу в строк не пізніше 14 (чотирнадцятого) числа місяця, насту</w:t>
            </w:r>
            <w:r w:rsidRPr="00290E14">
              <w:rPr>
                <w:bCs/>
              </w:rPr>
              <w:t>п</w:t>
            </w:r>
            <w:r w:rsidRPr="00290E14">
              <w:rPr>
                <w:bCs/>
              </w:rPr>
              <w:t xml:space="preserve">ного за розрахунковим періодом. </w:t>
            </w:r>
          </w:p>
          <w:p w:rsidR="002B1425" w:rsidRPr="00290E14" w:rsidRDefault="002B1425" w:rsidP="002B1425">
            <w:pPr>
              <w:pStyle w:val="2"/>
              <w:ind w:right="-1"/>
              <w:rPr>
                <w:bCs/>
                <w:color w:val="000000" w:themeColor="text1"/>
              </w:rPr>
            </w:pPr>
            <w:r w:rsidRPr="00290E14">
              <w:rPr>
                <w:bCs/>
                <w:color w:val="000000" w:themeColor="text1"/>
              </w:rPr>
              <w:t>За відсутності обґрунтованих зауважень до Акту приймання-передачі ел</w:t>
            </w:r>
            <w:r w:rsidRPr="00290E14">
              <w:rPr>
                <w:bCs/>
                <w:color w:val="000000" w:themeColor="text1"/>
              </w:rPr>
              <w:t>е</w:t>
            </w:r>
            <w:r w:rsidRPr="00290E14">
              <w:rPr>
                <w:bCs/>
                <w:color w:val="000000" w:themeColor="text1"/>
              </w:rPr>
              <w:t>ктричної енергії Споживач зобов’язаний підписати його за умовами Дог</w:t>
            </w:r>
            <w:r w:rsidRPr="00290E14">
              <w:rPr>
                <w:bCs/>
                <w:color w:val="000000" w:themeColor="text1"/>
              </w:rPr>
              <w:t>о</w:t>
            </w:r>
            <w:r w:rsidRPr="00290E14">
              <w:rPr>
                <w:bCs/>
                <w:color w:val="000000" w:themeColor="text1"/>
              </w:rPr>
              <w:t>вору та повернути Постачальнику не пізніше 15 (п</w:t>
            </w:r>
            <w:r w:rsidRPr="00290E14">
              <w:rPr>
                <w:bCs/>
                <w:color w:val="000000" w:themeColor="text1"/>
                <w:lang w:val="ru-RU"/>
              </w:rPr>
              <w:t>’</w:t>
            </w:r>
            <w:proofErr w:type="spellStart"/>
            <w:r w:rsidRPr="00290E14">
              <w:rPr>
                <w:bCs/>
                <w:color w:val="000000" w:themeColor="text1"/>
              </w:rPr>
              <w:t>ятнадцятого</w:t>
            </w:r>
            <w:proofErr w:type="spellEnd"/>
            <w:r w:rsidRPr="00290E14">
              <w:rPr>
                <w:bCs/>
                <w:color w:val="000000" w:themeColor="text1"/>
              </w:rPr>
              <w:t xml:space="preserve">) числа місяця, наступного за розрахунковим періодом. </w:t>
            </w:r>
          </w:p>
          <w:p w:rsidR="00290E14" w:rsidRPr="00290E14" w:rsidRDefault="002B1425" w:rsidP="002B1425">
            <w:pPr>
              <w:pStyle w:val="2"/>
              <w:ind w:right="-1"/>
              <w:rPr>
                <w:bCs/>
                <w:color w:val="000000" w:themeColor="text1"/>
              </w:rPr>
            </w:pPr>
            <w:r w:rsidRPr="00290E14">
              <w:rPr>
                <w:bCs/>
                <w:color w:val="000000" w:themeColor="text1"/>
              </w:rPr>
              <w:t>Умови обміну та отримання документів визначено Договором.</w:t>
            </w: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посіб оплати Постач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льнику</w:t>
            </w:r>
          </w:p>
          <w:p w:rsidR="002B1425" w:rsidRPr="00290E14" w:rsidRDefault="002B1425" w:rsidP="002B142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pStyle w:val="a3"/>
              <w:ind w:right="-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 умовами договору Оплата здійснюється у безготівковій формі з пото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ного рахунку Споживача на поточний рахунок із спеціальним режимом використання Постачальника.</w:t>
            </w:r>
          </w:p>
        </w:tc>
      </w:tr>
      <w:tr w:rsidR="002B1425" w:rsidRPr="00290E14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Визначення способу оплати послуг з розподілу та передачі </w:t>
            </w:r>
          </w:p>
        </w:tc>
        <w:tc>
          <w:tcPr>
            <w:tcW w:w="7938" w:type="dxa"/>
            <w:vAlign w:val="center"/>
          </w:tcPr>
          <w:p w:rsidR="002B1425" w:rsidRPr="00722CA0" w:rsidRDefault="002B1425" w:rsidP="002B1425">
            <w:pPr>
              <w:pStyle w:val="a3"/>
              <w:ind w:right="-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Оплата послуг з розподілу електричної енергії з оператором системи </w:t>
            </w:r>
            <w:r w:rsidR="006A2D6D"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</w:t>
            </w:r>
            <w:r w:rsidR="006A2D6D"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="006A2D6D"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поділу 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здійснюється самостійно.</w:t>
            </w:r>
          </w:p>
          <w:p w:rsidR="00290E14" w:rsidRPr="00290E14" w:rsidRDefault="002B1425" w:rsidP="002B1425">
            <w:pPr>
              <w:pStyle w:val="a3"/>
              <w:ind w:right="-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Оплати послуг з передачі електричної енергії здійснюється через постач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290E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льника.</w:t>
            </w:r>
          </w:p>
        </w:tc>
      </w:tr>
      <w:tr w:rsidR="002B1425" w:rsidRPr="00290E14" w:rsidTr="005D1738">
        <w:trPr>
          <w:trHeight w:val="858"/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7938" w:type="dxa"/>
            <w:vAlign w:val="center"/>
          </w:tcPr>
          <w:p w:rsidR="002B1425" w:rsidRPr="00290E14" w:rsidRDefault="002B1425" w:rsidP="002B1425">
            <w:pPr>
              <w:ind w:right="-1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uk-UA"/>
              </w:rPr>
              <w:t xml:space="preserve">За умовами договору. </w:t>
            </w:r>
          </w:p>
        </w:tc>
      </w:tr>
      <w:tr w:rsidR="002B1425" w:rsidRPr="005D1738" w:rsidTr="05D3BD53">
        <w:trPr>
          <w:jc w:val="center"/>
        </w:trPr>
        <w:tc>
          <w:tcPr>
            <w:tcW w:w="2122" w:type="dxa"/>
            <w:vAlign w:val="center"/>
          </w:tcPr>
          <w:p w:rsidR="002B1425" w:rsidRPr="00290E14" w:rsidRDefault="002B1425" w:rsidP="002B1425">
            <w:pPr>
              <w:pStyle w:val="a7"/>
              <w:numPr>
                <w:ilvl w:val="0"/>
                <w:numId w:val="17"/>
              </w:numPr>
              <w:ind w:left="0" w:right="-1" w:firstLine="0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Строк дії договору та умови</w:t>
            </w:r>
            <w:r w:rsidRPr="0029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E14"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пролонгації</w:t>
            </w:r>
          </w:p>
        </w:tc>
        <w:tc>
          <w:tcPr>
            <w:tcW w:w="7938" w:type="dxa"/>
            <w:vAlign w:val="center"/>
          </w:tcPr>
          <w:p w:rsidR="00106202" w:rsidRPr="00232249" w:rsidRDefault="00232249" w:rsidP="00EC0B3E">
            <w:pPr>
              <w:ind w:right="-1"/>
              <w:jc w:val="both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Цей</w:t>
            </w:r>
            <w:r w:rsidR="00CB33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Договір набирає чинності з 01.1</w:t>
            </w:r>
            <w:r w:rsidR="00EC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.2024 та діє до 3</w:t>
            </w:r>
            <w:r w:rsidR="00CB33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="00CB33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12</w:t>
            </w:r>
            <w:r w:rsidRPr="0023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.2024. </w:t>
            </w:r>
          </w:p>
        </w:tc>
      </w:tr>
    </w:tbl>
    <w:tbl>
      <w:tblPr>
        <w:tblW w:w="5073" w:type="pct"/>
        <w:tblLook w:val="04A0"/>
      </w:tblPr>
      <w:tblGrid>
        <w:gridCol w:w="5217"/>
        <w:gridCol w:w="4925"/>
      </w:tblGrid>
      <w:tr w:rsidR="004B60CC" w:rsidRPr="00290E14" w:rsidTr="3DB66F9A">
        <w:tc>
          <w:tcPr>
            <w:tcW w:w="5000" w:type="pct"/>
            <w:gridSpan w:val="2"/>
            <w:shd w:val="clear" w:color="auto" w:fill="auto"/>
            <w:vAlign w:val="center"/>
          </w:tcPr>
          <w:p w:rsidR="00290E14" w:rsidRPr="00290E14" w:rsidRDefault="00290E14" w:rsidP="0010348F">
            <w:pPr>
              <w:widowControl w:val="0"/>
              <w:snapToGri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B60CC" w:rsidRDefault="003925C8" w:rsidP="004C372C">
            <w:pPr>
              <w:widowControl w:val="0"/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4B60CC" w:rsidRPr="00290E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ПІДПИСИ, ПОШТОВІ ТА БАНКІВСЬКІ РЕКВІЗИТИ СТОРІН:</w:t>
            </w:r>
          </w:p>
          <w:p w:rsidR="00290E14" w:rsidRPr="00290E14" w:rsidRDefault="00290E14" w:rsidP="004C372C">
            <w:pPr>
              <w:widowControl w:val="0"/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1337" w:rsidRPr="00290E14" w:rsidTr="3DB6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7" w:rsidRPr="00290E14" w:rsidRDefault="00111337" w:rsidP="002274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Постачальник:</w:t>
            </w:r>
          </w:p>
          <w:p w:rsidR="00111337" w:rsidRPr="00290E14" w:rsidRDefault="00111337" w:rsidP="001658BA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37" w:rsidRPr="00290E14" w:rsidRDefault="00111337" w:rsidP="002B14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Споживач:</w:t>
            </w:r>
          </w:p>
          <w:p w:rsidR="002B1425" w:rsidRPr="00290E14" w:rsidRDefault="001658BA" w:rsidP="002B1425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290E14">
              <w:rPr>
                <w:rFonts w:ascii="Times New Roman" w:hAnsi="Times New Roman"/>
                <w:bCs/>
                <w:sz w:val="24"/>
                <w:szCs w:val="24"/>
              </w:rPr>
              <w:t>ПУБЛІЧНЕ АКЦІОНЕРНЕ ТОВАРИСТВО «СУМИХІМПРОМ»</w:t>
            </w:r>
          </w:p>
        </w:tc>
      </w:tr>
      <w:tr w:rsidR="00111337" w:rsidRPr="00290E14" w:rsidTr="3DB6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23" w:rsidRPr="00290E14" w:rsidRDefault="00AE2023" w:rsidP="009E5032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Look w:val="04A0"/>
            </w:tblPr>
            <w:tblGrid>
              <w:gridCol w:w="4709"/>
            </w:tblGrid>
            <w:tr w:rsidR="00111337" w:rsidRPr="00290E14" w:rsidTr="00953E07">
              <w:trPr>
                <w:trHeight w:val="636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11337" w:rsidRPr="00290E14" w:rsidRDefault="00111337" w:rsidP="001658B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111337" w:rsidRPr="00290E14" w:rsidRDefault="00111337" w:rsidP="004C386B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1337" w:rsidRPr="00290E14" w:rsidTr="3DB6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7" w:rsidRPr="00290E14" w:rsidRDefault="00111337" w:rsidP="004C372C">
            <w:pPr>
              <w:spacing w:line="240" w:lineRule="auto"/>
              <w:ind w:right="-1"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78" w:rsidRPr="00676CA7" w:rsidRDefault="00111337" w:rsidP="00502578">
            <w:pPr>
              <w:tabs>
                <w:tab w:val="left" w:pos="720"/>
              </w:tabs>
              <w:contextualSpacing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0E14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90E1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1337" w:rsidRPr="00676CA7" w:rsidRDefault="00111337" w:rsidP="001658BA">
            <w:pPr>
              <w:spacing w:line="240" w:lineRule="auto"/>
              <w:ind w:right="-1"/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B30EE" w:rsidRPr="00290E14" w:rsidRDefault="004B30EE">
      <w:pPr>
        <w:ind w:right="-1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sectPr w:rsidR="004B30EE" w:rsidRPr="00290E14" w:rsidSect="0088032B">
      <w:footerReference w:type="default" r:id="rId13"/>
      <w:pgSz w:w="11906" w:h="16838"/>
      <w:pgMar w:top="567" w:right="850" w:bottom="1134" w:left="1276" w:header="709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4E" w:rsidRDefault="008C2B4E" w:rsidP="002A7626">
      <w:pPr>
        <w:spacing w:after="0" w:line="240" w:lineRule="auto"/>
      </w:pPr>
      <w:r>
        <w:separator/>
      </w:r>
    </w:p>
  </w:endnote>
  <w:endnote w:type="continuationSeparator" w:id="0">
    <w:p w:rsidR="008C2B4E" w:rsidRDefault="008C2B4E" w:rsidP="002A7626">
      <w:pPr>
        <w:spacing w:after="0" w:line="240" w:lineRule="auto"/>
      </w:pPr>
      <w:r>
        <w:continuationSeparator/>
      </w:r>
    </w:p>
  </w:endnote>
  <w:endnote w:type="continuationNotice" w:id="1">
    <w:p w:rsidR="008C2B4E" w:rsidRDefault="008C2B4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233854661"/>
      <w:docPartObj>
        <w:docPartGallery w:val="Page Numbers (Bottom of Page)"/>
        <w:docPartUnique/>
      </w:docPartObj>
    </w:sdtPr>
    <w:sdtContent>
      <w:p w:rsidR="0088032B" w:rsidRPr="0051743F" w:rsidRDefault="00691B67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174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032B" w:rsidRPr="005174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74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B3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174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4473" w:rsidRPr="00204969" w:rsidRDefault="00074473" w:rsidP="002049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4E" w:rsidRDefault="008C2B4E" w:rsidP="002A7626">
      <w:pPr>
        <w:spacing w:after="0" w:line="240" w:lineRule="auto"/>
      </w:pPr>
      <w:r>
        <w:separator/>
      </w:r>
    </w:p>
  </w:footnote>
  <w:footnote w:type="continuationSeparator" w:id="0">
    <w:p w:rsidR="008C2B4E" w:rsidRDefault="008C2B4E" w:rsidP="002A7626">
      <w:pPr>
        <w:spacing w:after="0" w:line="240" w:lineRule="auto"/>
      </w:pPr>
      <w:r>
        <w:continuationSeparator/>
      </w:r>
    </w:p>
  </w:footnote>
  <w:footnote w:type="continuationNotice" w:id="1">
    <w:p w:rsidR="008C2B4E" w:rsidRDefault="008C2B4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A4"/>
    <w:multiLevelType w:val="hybridMultilevel"/>
    <w:tmpl w:val="698C8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219F"/>
    <w:multiLevelType w:val="multilevel"/>
    <w:tmpl w:val="22904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794571"/>
    <w:multiLevelType w:val="hybridMultilevel"/>
    <w:tmpl w:val="C162800A"/>
    <w:lvl w:ilvl="0" w:tplc="EA5C6374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CF16328"/>
    <w:multiLevelType w:val="hybridMultilevel"/>
    <w:tmpl w:val="6AA2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A6904"/>
    <w:multiLevelType w:val="hybridMultilevel"/>
    <w:tmpl w:val="F048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26FC8"/>
    <w:multiLevelType w:val="hybridMultilevel"/>
    <w:tmpl w:val="CEF067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425C0"/>
    <w:multiLevelType w:val="hybridMultilevel"/>
    <w:tmpl w:val="799269D0"/>
    <w:lvl w:ilvl="0" w:tplc="D680AB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37603"/>
    <w:multiLevelType w:val="hybridMultilevel"/>
    <w:tmpl w:val="A29E26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B012B"/>
    <w:multiLevelType w:val="hybridMultilevel"/>
    <w:tmpl w:val="27D0C54E"/>
    <w:lvl w:ilvl="0" w:tplc="96B63B5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4383E"/>
    <w:multiLevelType w:val="hybridMultilevel"/>
    <w:tmpl w:val="94504FFE"/>
    <w:lvl w:ilvl="0" w:tplc="3078E3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A15A0"/>
    <w:multiLevelType w:val="hybridMultilevel"/>
    <w:tmpl w:val="F8E4D37A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71D3B2B"/>
    <w:multiLevelType w:val="hybridMultilevel"/>
    <w:tmpl w:val="232461EE"/>
    <w:lvl w:ilvl="0" w:tplc="2CB8048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0" w:hanging="360"/>
      </w:pPr>
    </w:lvl>
    <w:lvl w:ilvl="2" w:tplc="2000001B" w:tentative="1">
      <w:start w:val="1"/>
      <w:numFmt w:val="lowerRoman"/>
      <w:lvlText w:val="%3."/>
      <w:lvlJc w:val="right"/>
      <w:pPr>
        <w:ind w:left="2260" w:hanging="180"/>
      </w:pPr>
    </w:lvl>
    <w:lvl w:ilvl="3" w:tplc="2000000F" w:tentative="1">
      <w:start w:val="1"/>
      <w:numFmt w:val="decimal"/>
      <w:lvlText w:val="%4."/>
      <w:lvlJc w:val="left"/>
      <w:pPr>
        <w:ind w:left="2980" w:hanging="360"/>
      </w:pPr>
    </w:lvl>
    <w:lvl w:ilvl="4" w:tplc="20000019" w:tentative="1">
      <w:start w:val="1"/>
      <w:numFmt w:val="lowerLetter"/>
      <w:lvlText w:val="%5."/>
      <w:lvlJc w:val="left"/>
      <w:pPr>
        <w:ind w:left="3700" w:hanging="360"/>
      </w:pPr>
    </w:lvl>
    <w:lvl w:ilvl="5" w:tplc="2000001B" w:tentative="1">
      <w:start w:val="1"/>
      <w:numFmt w:val="lowerRoman"/>
      <w:lvlText w:val="%6."/>
      <w:lvlJc w:val="right"/>
      <w:pPr>
        <w:ind w:left="4420" w:hanging="180"/>
      </w:pPr>
    </w:lvl>
    <w:lvl w:ilvl="6" w:tplc="2000000F" w:tentative="1">
      <w:start w:val="1"/>
      <w:numFmt w:val="decimal"/>
      <w:lvlText w:val="%7."/>
      <w:lvlJc w:val="left"/>
      <w:pPr>
        <w:ind w:left="5140" w:hanging="360"/>
      </w:pPr>
    </w:lvl>
    <w:lvl w:ilvl="7" w:tplc="20000019" w:tentative="1">
      <w:start w:val="1"/>
      <w:numFmt w:val="lowerLetter"/>
      <w:lvlText w:val="%8."/>
      <w:lvlJc w:val="left"/>
      <w:pPr>
        <w:ind w:left="5860" w:hanging="360"/>
      </w:pPr>
    </w:lvl>
    <w:lvl w:ilvl="8" w:tplc="2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586F6119"/>
    <w:multiLevelType w:val="hybridMultilevel"/>
    <w:tmpl w:val="0AD00DE4"/>
    <w:lvl w:ilvl="0" w:tplc="2F4CF4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AB4009"/>
    <w:multiLevelType w:val="hybridMultilevel"/>
    <w:tmpl w:val="BD60C0E0"/>
    <w:lvl w:ilvl="0" w:tplc="59CEB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16F30"/>
    <w:multiLevelType w:val="hybridMultilevel"/>
    <w:tmpl w:val="25987F60"/>
    <w:lvl w:ilvl="0" w:tplc="2E1C3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83EC3"/>
    <w:multiLevelType w:val="hybridMultilevel"/>
    <w:tmpl w:val="494085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B2E26"/>
    <w:multiLevelType w:val="hybridMultilevel"/>
    <w:tmpl w:val="6AF26094"/>
    <w:lvl w:ilvl="0" w:tplc="0422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7D655DCD"/>
    <w:multiLevelType w:val="hybridMultilevel"/>
    <w:tmpl w:val="A16AE14A"/>
    <w:lvl w:ilvl="0" w:tplc="970E6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AED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2F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45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4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B8D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C89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6D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8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3"/>
  </w:num>
  <w:num w:numId="5">
    <w:abstractNumId w:val="16"/>
  </w:num>
  <w:num w:numId="6">
    <w:abstractNumId w:val="6"/>
  </w:num>
  <w:num w:numId="7">
    <w:abstractNumId w:val="2"/>
  </w:num>
  <w:num w:numId="8">
    <w:abstractNumId w:val="13"/>
  </w:num>
  <w:num w:numId="9">
    <w:abstractNumId w:val="12"/>
  </w:num>
  <w:num w:numId="10">
    <w:abstractNumId w:val="17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7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F68F8"/>
    <w:rsid w:val="00000874"/>
    <w:rsid w:val="000016DF"/>
    <w:rsid w:val="00002244"/>
    <w:rsid w:val="00002715"/>
    <w:rsid w:val="00003B16"/>
    <w:rsid w:val="0000432B"/>
    <w:rsid w:val="0001113E"/>
    <w:rsid w:val="000136C3"/>
    <w:rsid w:val="0001522F"/>
    <w:rsid w:val="00020F28"/>
    <w:rsid w:val="000268E4"/>
    <w:rsid w:val="00027CBD"/>
    <w:rsid w:val="000320B3"/>
    <w:rsid w:val="00033696"/>
    <w:rsid w:val="00033A9C"/>
    <w:rsid w:val="0003681F"/>
    <w:rsid w:val="000442F4"/>
    <w:rsid w:val="00044449"/>
    <w:rsid w:val="00045F81"/>
    <w:rsid w:val="000511FE"/>
    <w:rsid w:val="0005194C"/>
    <w:rsid w:val="00054782"/>
    <w:rsid w:val="0005479B"/>
    <w:rsid w:val="000548E8"/>
    <w:rsid w:val="00054E19"/>
    <w:rsid w:val="0006238A"/>
    <w:rsid w:val="00071BAA"/>
    <w:rsid w:val="00071E82"/>
    <w:rsid w:val="00074473"/>
    <w:rsid w:val="00080C83"/>
    <w:rsid w:val="0008366C"/>
    <w:rsid w:val="00086B40"/>
    <w:rsid w:val="000879B5"/>
    <w:rsid w:val="0009177B"/>
    <w:rsid w:val="0009187B"/>
    <w:rsid w:val="00097353"/>
    <w:rsid w:val="0009772D"/>
    <w:rsid w:val="0009778C"/>
    <w:rsid w:val="000A259B"/>
    <w:rsid w:val="000A3259"/>
    <w:rsid w:val="000A692F"/>
    <w:rsid w:val="000B1C53"/>
    <w:rsid w:val="000C274A"/>
    <w:rsid w:val="000C3EF3"/>
    <w:rsid w:val="000C6B08"/>
    <w:rsid w:val="000C7872"/>
    <w:rsid w:val="000C7A66"/>
    <w:rsid w:val="000D24D6"/>
    <w:rsid w:val="000D3056"/>
    <w:rsid w:val="000D48DE"/>
    <w:rsid w:val="000D5D7E"/>
    <w:rsid w:val="000D6CAF"/>
    <w:rsid w:val="000E1C71"/>
    <w:rsid w:val="000E7D8E"/>
    <w:rsid w:val="000F7560"/>
    <w:rsid w:val="00102BF4"/>
    <w:rsid w:val="0010348F"/>
    <w:rsid w:val="00106202"/>
    <w:rsid w:val="00111337"/>
    <w:rsid w:val="00111907"/>
    <w:rsid w:val="00113AA9"/>
    <w:rsid w:val="001161B7"/>
    <w:rsid w:val="0011636A"/>
    <w:rsid w:val="001225B1"/>
    <w:rsid w:val="00123210"/>
    <w:rsid w:val="001252BB"/>
    <w:rsid w:val="00125A59"/>
    <w:rsid w:val="00126239"/>
    <w:rsid w:val="0012639E"/>
    <w:rsid w:val="00131664"/>
    <w:rsid w:val="001316B9"/>
    <w:rsid w:val="001329E8"/>
    <w:rsid w:val="00140BB0"/>
    <w:rsid w:val="00141FFD"/>
    <w:rsid w:val="00142C76"/>
    <w:rsid w:val="00146636"/>
    <w:rsid w:val="00153728"/>
    <w:rsid w:val="0015416A"/>
    <w:rsid w:val="00154516"/>
    <w:rsid w:val="00155563"/>
    <w:rsid w:val="00160E3F"/>
    <w:rsid w:val="001647A5"/>
    <w:rsid w:val="001658BA"/>
    <w:rsid w:val="00166C7F"/>
    <w:rsid w:val="00167364"/>
    <w:rsid w:val="00177903"/>
    <w:rsid w:val="00177BB3"/>
    <w:rsid w:val="00177DDE"/>
    <w:rsid w:val="001823C0"/>
    <w:rsid w:val="001971FB"/>
    <w:rsid w:val="001A0394"/>
    <w:rsid w:val="001A524B"/>
    <w:rsid w:val="001A68F0"/>
    <w:rsid w:val="001B3CBA"/>
    <w:rsid w:val="001B45C1"/>
    <w:rsid w:val="001C0C19"/>
    <w:rsid w:val="001C5738"/>
    <w:rsid w:val="001E68ED"/>
    <w:rsid w:val="001F5754"/>
    <w:rsid w:val="002018F8"/>
    <w:rsid w:val="002039E9"/>
    <w:rsid w:val="00204969"/>
    <w:rsid w:val="0021028D"/>
    <w:rsid w:val="002120B6"/>
    <w:rsid w:val="0021434C"/>
    <w:rsid w:val="002168FB"/>
    <w:rsid w:val="0021792F"/>
    <w:rsid w:val="00217D5C"/>
    <w:rsid w:val="00220D74"/>
    <w:rsid w:val="00224925"/>
    <w:rsid w:val="00224B2F"/>
    <w:rsid w:val="002274B7"/>
    <w:rsid w:val="00232249"/>
    <w:rsid w:val="00232CE5"/>
    <w:rsid w:val="00233941"/>
    <w:rsid w:val="00234B31"/>
    <w:rsid w:val="002366FA"/>
    <w:rsid w:val="00243582"/>
    <w:rsid w:val="00244468"/>
    <w:rsid w:val="00247C2C"/>
    <w:rsid w:val="00254D02"/>
    <w:rsid w:val="002556DB"/>
    <w:rsid w:val="00260FBD"/>
    <w:rsid w:val="0026298E"/>
    <w:rsid w:val="00265FCD"/>
    <w:rsid w:val="002709B9"/>
    <w:rsid w:val="00277A2D"/>
    <w:rsid w:val="00282637"/>
    <w:rsid w:val="0029046C"/>
    <w:rsid w:val="00290D6F"/>
    <w:rsid w:val="00290E14"/>
    <w:rsid w:val="00290FFF"/>
    <w:rsid w:val="002933CB"/>
    <w:rsid w:val="0029368B"/>
    <w:rsid w:val="00294666"/>
    <w:rsid w:val="00296A3A"/>
    <w:rsid w:val="002A7626"/>
    <w:rsid w:val="002B1425"/>
    <w:rsid w:val="002B41E3"/>
    <w:rsid w:val="002B62DA"/>
    <w:rsid w:val="002D04D1"/>
    <w:rsid w:val="002D0A1F"/>
    <w:rsid w:val="002D3623"/>
    <w:rsid w:val="002D6A84"/>
    <w:rsid w:val="002E37CA"/>
    <w:rsid w:val="002E5583"/>
    <w:rsid w:val="002E5B8B"/>
    <w:rsid w:val="002E68C4"/>
    <w:rsid w:val="002F24B3"/>
    <w:rsid w:val="002F3AA3"/>
    <w:rsid w:val="003000FC"/>
    <w:rsid w:val="003005FC"/>
    <w:rsid w:val="00300C2B"/>
    <w:rsid w:val="00301407"/>
    <w:rsid w:val="00303F57"/>
    <w:rsid w:val="00314783"/>
    <w:rsid w:val="00322BB8"/>
    <w:rsid w:val="00322DFC"/>
    <w:rsid w:val="00323D80"/>
    <w:rsid w:val="003242B1"/>
    <w:rsid w:val="00324310"/>
    <w:rsid w:val="00326351"/>
    <w:rsid w:val="003303CA"/>
    <w:rsid w:val="00331EB1"/>
    <w:rsid w:val="00335FD8"/>
    <w:rsid w:val="0033618F"/>
    <w:rsid w:val="003400A9"/>
    <w:rsid w:val="003406AA"/>
    <w:rsid w:val="00340797"/>
    <w:rsid w:val="003532A3"/>
    <w:rsid w:val="00356D33"/>
    <w:rsid w:val="003606D3"/>
    <w:rsid w:val="00361F49"/>
    <w:rsid w:val="0036348F"/>
    <w:rsid w:val="00363A4F"/>
    <w:rsid w:val="00363DD2"/>
    <w:rsid w:val="00365B30"/>
    <w:rsid w:val="00366AF1"/>
    <w:rsid w:val="00370792"/>
    <w:rsid w:val="003756A5"/>
    <w:rsid w:val="00375F93"/>
    <w:rsid w:val="00377268"/>
    <w:rsid w:val="0038154C"/>
    <w:rsid w:val="00382AF1"/>
    <w:rsid w:val="003855F0"/>
    <w:rsid w:val="00386D4F"/>
    <w:rsid w:val="00390BD4"/>
    <w:rsid w:val="003919CF"/>
    <w:rsid w:val="003925C8"/>
    <w:rsid w:val="0039390D"/>
    <w:rsid w:val="00395027"/>
    <w:rsid w:val="003964ED"/>
    <w:rsid w:val="003A0164"/>
    <w:rsid w:val="003A17C8"/>
    <w:rsid w:val="003A7C12"/>
    <w:rsid w:val="003B17C0"/>
    <w:rsid w:val="003B2A2B"/>
    <w:rsid w:val="003B7B56"/>
    <w:rsid w:val="003C69C6"/>
    <w:rsid w:val="003D3A0E"/>
    <w:rsid w:val="003D4590"/>
    <w:rsid w:val="003D77CB"/>
    <w:rsid w:val="003E1884"/>
    <w:rsid w:val="003E35B0"/>
    <w:rsid w:val="003E40C0"/>
    <w:rsid w:val="003E4C60"/>
    <w:rsid w:val="003F0598"/>
    <w:rsid w:val="0040019F"/>
    <w:rsid w:val="00401BE0"/>
    <w:rsid w:val="0040702D"/>
    <w:rsid w:val="004101C3"/>
    <w:rsid w:val="00410C9B"/>
    <w:rsid w:val="00410F67"/>
    <w:rsid w:val="00416C89"/>
    <w:rsid w:val="00421D6C"/>
    <w:rsid w:val="00427332"/>
    <w:rsid w:val="00431784"/>
    <w:rsid w:val="00432814"/>
    <w:rsid w:val="004444D0"/>
    <w:rsid w:val="004445BA"/>
    <w:rsid w:val="0045279E"/>
    <w:rsid w:val="00453053"/>
    <w:rsid w:val="0045539F"/>
    <w:rsid w:val="00455CB1"/>
    <w:rsid w:val="004576C3"/>
    <w:rsid w:val="0046185B"/>
    <w:rsid w:val="004741C1"/>
    <w:rsid w:val="00476AE5"/>
    <w:rsid w:val="00480B5C"/>
    <w:rsid w:val="00480DB6"/>
    <w:rsid w:val="00484CC3"/>
    <w:rsid w:val="00486461"/>
    <w:rsid w:val="00490A4F"/>
    <w:rsid w:val="00493BF2"/>
    <w:rsid w:val="004A1063"/>
    <w:rsid w:val="004A130C"/>
    <w:rsid w:val="004A1745"/>
    <w:rsid w:val="004A204B"/>
    <w:rsid w:val="004A2628"/>
    <w:rsid w:val="004A30E2"/>
    <w:rsid w:val="004A3B9D"/>
    <w:rsid w:val="004B073A"/>
    <w:rsid w:val="004B1868"/>
    <w:rsid w:val="004B2969"/>
    <w:rsid w:val="004B30EE"/>
    <w:rsid w:val="004B46FE"/>
    <w:rsid w:val="004B555A"/>
    <w:rsid w:val="004B60CC"/>
    <w:rsid w:val="004B6F53"/>
    <w:rsid w:val="004C110C"/>
    <w:rsid w:val="004C2711"/>
    <w:rsid w:val="004C372C"/>
    <w:rsid w:val="004C386B"/>
    <w:rsid w:val="004C45ED"/>
    <w:rsid w:val="004C657D"/>
    <w:rsid w:val="004D1268"/>
    <w:rsid w:val="004D14CC"/>
    <w:rsid w:val="004D2CDD"/>
    <w:rsid w:val="004D2CF8"/>
    <w:rsid w:val="004D3966"/>
    <w:rsid w:val="004D5795"/>
    <w:rsid w:val="004D6804"/>
    <w:rsid w:val="004E25D4"/>
    <w:rsid w:val="004E2A9E"/>
    <w:rsid w:val="004F40A4"/>
    <w:rsid w:val="00500021"/>
    <w:rsid w:val="005007A1"/>
    <w:rsid w:val="00501CA2"/>
    <w:rsid w:val="00502578"/>
    <w:rsid w:val="00502694"/>
    <w:rsid w:val="005060A6"/>
    <w:rsid w:val="005120FD"/>
    <w:rsid w:val="00513BC7"/>
    <w:rsid w:val="0051743F"/>
    <w:rsid w:val="005252A9"/>
    <w:rsid w:val="005313E2"/>
    <w:rsid w:val="005330C1"/>
    <w:rsid w:val="00535D9C"/>
    <w:rsid w:val="00535F52"/>
    <w:rsid w:val="005368BF"/>
    <w:rsid w:val="00540DC9"/>
    <w:rsid w:val="00544611"/>
    <w:rsid w:val="005510E6"/>
    <w:rsid w:val="0055230E"/>
    <w:rsid w:val="00557287"/>
    <w:rsid w:val="0056344C"/>
    <w:rsid w:val="005702C1"/>
    <w:rsid w:val="005738C6"/>
    <w:rsid w:val="005740FB"/>
    <w:rsid w:val="00574196"/>
    <w:rsid w:val="00575EBC"/>
    <w:rsid w:val="0057737D"/>
    <w:rsid w:val="005819B1"/>
    <w:rsid w:val="00582469"/>
    <w:rsid w:val="00586437"/>
    <w:rsid w:val="005869E8"/>
    <w:rsid w:val="00592D2B"/>
    <w:rsid w:val="005945D6"/>
    <w:rsid w:val="00594CBF"/>
    <w:rsid w:val="00594F36"/>
    <w:rsid w:val="005A1294"/>
    <w:rsid w:val="005A3E4F"/>
    <w:rsid w:val="005A6014"/>
    <w:rsid w:val="005A6C84"/>
    <w:rsid w:val="005A6F8A"/>
    <w:rsid w:val="005A79B5"/>
    <w:rsid w:val="005B1487"/>
    <w:rsid w:val="005B7465"/>
    <w:rsid w:val="005C58B4"/>
    <w:rsid w:val="005C7A38"/>
    <w:rsid w:val="005D02A5"/>
    <w:rsid w:val="005D1738"/>
    <w:rsid w:val="005D5543"/>
    <w:rsid w:val="005F7811"/>
    <w:rsid w:val="0060300A"/>
    <w:rsid w:val="00604A93"/>
    <w:rsid w:val="00604C9A"/>
    <w:rsid w:val="00607DE0"/>
    <w:rsid w:val="00610814"/>
    <w:rsid w:val="00613965"/>
    <w:rsid w:val="00617C4B"/>
    <w:rsid w:val="00620382"/>
    <w:rsid w:val="00620CEA"/>
    <w:rsid w:val="00624F77"/>
    <w:rsid w:val="0062753D"/>
    <w:rsid w:val="00630A66"/>
    <w:rsid w:val="00631A38"/>
    <w:rsid w:val="00632194"/>
    <w:rsid w:val="006325DC"/>
    <w:rsid w:val="0063498B"/>
    <w:rsid w:val="0063739A"/>
    <w:rsid w:val="006378ED"/>
    <w:rsid w:val="00644699"/>
    <w:rsid w:val="006457A3"/>
    <w:rsid w:val="0064608A"/>
    <w:rsid w:val="00646262"/>
    <w:rsid w:val="00646478"/>
    <w:rsid w:val="006478E7"/>
    <w:rsid w:val="00647DD5"/>
    <w:rsid w:val="00647E3E"/>
    <w:rsid w:val="00647F10"/>
    <w:rsid w:val="00653284"/>
    <w:rsid w:val="00665011"/>
    <w:rsid w:val="0067179B"/>
    <w:rsid w:val="006723F2"/>
    <w:rsid w:val="006725FE"/>
    <w:rsid w:val="006748DF"/>
    <w:rsid w:val="00676B16"/>
    <w:rsid w:val="00676CA7"/>
    <w:rsid w:val="006812D5"/>
    <w:rsid w:val="0068163A"/>
    <w:rsid w:val="00683A12"/>
    <w:rsid w:val="00685AC0"/>
    <w:rsid w:val="00687E09"/>
    <w:rsid w:val="006900B7"/>
    <w:rsid w:val="0069125D"/>
    <w:rsid w:val="006916E7"/>
    <w:rsid w:val="00691B67"/>
    <w:rsid w:val="0069305E"/>
    <w:rsid w:val="006945AF"/>
    <w:rsid w:val="006950A4"/>
    <w:rsid w:val="006A2D6D"/>
    <w:rsid w:val="006A2ECA"/>
    <w:rsid w:val="006B5BC0"/>
    <w:rsid w:val="006C0F1F"/>
    <w:rsid w:val="006C2809"/>
    <w:rsid w:val="006C3D07"/>
    <w:rsid w:val="006C46BF"/>
    <w:rsid w:val="006C4B25"/>
    <w:rsid w:val="006D056B"/>
    <w:rsid w:val="006D537D"/>
    <w:rsid w:val="006D654D"/>
    <w:rsid w:val="006D6B0B"/>
    <w:rsid w:val="006E0036"/>
    <w:rsid w:val="006E45FA"/>
    <w:rsid w:val="006E5692"/>
    <w:rsid w:val="006F266E"/>
    <w:rsid w:val="00700134"/>
    <w:rsid w:val="007020E7"/>
    <w:rsid w:val="00704A5E"/>
    <w:rsid w:val="00707770"/>
    <w:rsid w:val="00720B15"/>
    <w:rsid w:val="00721321"/>
    <w:rsid w:val="00722CA0"/>
    <w:rsid w:val="00730EAE"/>
    <w:rsid w:val="00731ECC"/>
    <w:rsid w:val="00735492"/>
    <w:rsid w:val="007374CC"/>
    <w:rsid w:val="00740F6E"/>
    <w:rsid w:val="00753852"/>
    <w:rsid w:val="0075391A"/>
    <w:rsid w:val="007553C7"/>
    <w:rsid w:val="0076037F"/>
    <w:rsid w:val="00765147"/>
    <w:rsid w:val="00765301"/>
    <w:rsid w:val="0076555C"/>
    <w:rsid w:val="00772309"/>
    <w:rsid w:val="00791D3C"/>
    <w:rsid w:val="0079265F"/>
    <w:rsid w:val="00795863"/>
    <w:rsid w:val="007A249F"/>
    <w:rsid w:val="007A62FD"/>
    <w:rsid w:val="007A7F74"/>
    <w:rsid w:val="007B206D"/>
    <w:rsid w:val="007B20FF"/>
    <w:rsid w:val="007B2E1E"/>
    <w:rsid w:val="007B413E"/>
    <w:rsid w:val="007C11BD"/>
    <w:rsid w:val="007C75A1"/>
    <w:rsid w:val="007D0004"/>
    <w:rsid w:val="007D07B8"/>
    <w:rsid w:val="007D502C"/>
    <w:rsid w:val="007E1942"/>
    <w:rsid w:val="007E1CBF"/>
    <w:rsid w:val="007E2F8B"/>
    <w:rsid w:val="007E45A7"/>
    <w:rsid w:val="007F195A"/>
    <w:rsid w:val="007F4C13"/>
    <w:rsid w:val="007F7D35"/>
    <w:rsid w:val="008005FB"/>
    <w:rsid w:val="00801935"/>
    <w:rsid w:val="00801F13"/>
    <w:rsid w:val="00804C49"/>
    <w:rsid w:val="008065A4"/>
    <w:rsid w:val="00811CC6"/>
    <w:rsid w:val="00812F81"/>
    <w:rsid w:val="0082028F"/>
    <w:rsid w:val="0082158E"/>
    <w:rsid w:val="00822424"/>
    <w:rsid w:val="0082243E"/>
    <w:rsid w:val="008228E9"/>
    <w:rsid w:val="00827D31"/>
    <w:rsid w:val="00827F8A"/>
    <w:rsid w:val="008316A6"/>
    <w:rsid w:val="00832346"/>
    <w:rsid w:val="00854F50"/>
    <w:rsid w:val="00856323"/>
    <w:rsid w:val="008611F7"/>
    <w:rsid w:val="008614F3"/>
    <w:rsid w:val="008671A9"/>
    <w:rsid w:val="00867951"/>
    <w:rsid w:val="0087030E"/>
    <w:rsid w:val="008706DE"/>
    <w:rsid w:val="00875916"/>
    <w:rsid w:val="008761D7"/>
    <w:rsid w:val="0088015E"/>
    <w:rsid w:val="0088032B"/>
    <w:rsid w:val="008803D7"/>
    <w:rsid w:val="008807D7"/>
    <w:rsid w:val="00884CA1"/>
    <w:rsid w:val="00885AC2"/>
    <w:rsid w:val="0089116C"/>
    <w:rsid w:val="00891976"/>
    <w:rsid w:val="008A1489"/>
    <w:rsid w:val="008A2105"/>
    <w:rsid w:val="008A37A1"/>
    <w:rsid w:val="008A541C"/>
    <w:rsid w:val="008B2154"/>
    <w:rsid w:val="008B22CA"/>
    <w:rsid w:val="008B54B8"/>
    <w:rsid w:val="008B5BF7"/>
    <w:rsid w:val="008B6ABA"/>
    <w:rsid w:val="008B6C42"/>
    <w:rsid w:val="008B7C07"/>
    <w:rsid w:val="008C2658"/>
    <w:rsid w:val="008C27A6"/>
    <w:rsid w:val="008C2B4E"/>
    <w:rsid w:val="008C3FB1"/>
    <w:rsid w:val="008C4C5C"/>
    <w:rsid w:val="008D0584"/>
    <w:rsid w:val="008D358D"/>
    <w:rsid w:val="008D4700"/>
    <w:rsid w:val="008D545D"/>
    <w:rsid w:val="008F10AD"/>
    <w:rsid w:val="008F3AA4"/>
    <w:rsid w:val="008F406F"/>
    <w:rsid w:val="008F5287"/>
    <w:rsid w:val="008F626F"/>
    <w:rsid w:val="00900711"/>
    <w:rsid w:val="009042B0"/>
    <w:rsid w:val="00904988"/>
    <w:rsid w:val="00904A93"/>
    <w:rsid w:val="00906FC8"/>
    <w:rsid w:val="009078C4"/>
    <w:rsid w:val="009101C4"/>
    <w:rsid w:val="00910565"/>
    <w:rsid w:val="00912EDF"/>
    <w:rsid w:val="0091425A"/>
    <w:rsid w:val="009156D9"/>
    <w:rsid w:val="00920A2D"/>
    <w:rsid w:val="00924B55"/>
    <w:rsid w:val="0092667A"/>
    <w:rsid w:val="00926775"/>
    <w:rsid w:val="00930042"/>
    <w:rsid w:val="009312CB"/>
    <w:rsid w:val="00931471"/>
    <w:rsid w:val="0093279E"/>
    <w:rsid w:val="0093285E"/>
    <w:rsid w:val="0094143E"/>
    <w:rsid w:val="00944700"/>
    <w:rsid w:val="009465E8"/>
    <w:rsid w:val="00951DAA"/>
    <w:rsid w:val="00952E4A"/>
    <w:rsid w:val="00953E07"/>
    <w:rsid w:val="00955048"/>
    <w:rsid w:val="00962B8E"/>
    <w:rsid w:val="00964BE1"/>
    <w:rsid w:val="00966101"/>
    <w:rsid w:val="00967DCB"/>
    <w:rsid w:val="009729DD"/>
    <w:rsid w:val="00974A8A"/>
    <w:rsid w:val="00976752"/>
    <w:rsid w:val="00980285"/>
    <w:rsid w:val="009839B6"/>
    <w:rsid w:val="0098546F"/>
    <w:rsid w:val="00986653"/>
    <w:rsid w:val="00987CFD"/>
    <w:rsid w:val="00993BB0"/>
    <w:rsid w:val="00997CC0"/>
    <w:rsid w:val="009A0659"/>
    <w:rsid w:val="009A51CF"/>
    <w:rsid w:val="009B0E27"/>
    <w:rsid w:val="009B2496"/>
    <w:rsid w:val="009B7E39"/>
    <w:rsid w:val="009C1145"/>
    <w:rsid w:val="009D0BD7"/>
    <w:rsid w:val="009D16BC"/>
    <w:rsid w:val="009D1C69"/>
    <w:rsid w:val="009D5095"/>
    <w:rsid w:val="009E2947"/>
    <w:rsid w:val="009E3294"/>
    <w:rsid w:val="009E5032"/>
    <w:rsid w:val="009E761D"/>
    <w:rsid w:val="009F0B84"/>
    <w:rsid w:val="009F2245"/>
    <w:rsid w:val="009F54D4"/>
    <w:rsid w:val="00A00459"/>
    <w:rsid w:val="00A01EB6"/>
    <w:rsid w:val="00A07777"/>
    <w:rsid w:val="00A101D7"/>
    <w:rsid w:val="00A142F2"/>
    <w:rsid w:val="00A15004"/>
    <w:rsid w:val="00A17616"/>
    <w:rsid w:val="00A22E95"/>
    <w:rsid w:val="00A30542"/>
    <w:rsid w:val="00A35D62"/>
    <w:rsid w:val="00A37797"/>
    <w:rsid w:val="00A405D5"/>
    <w:rsid w:val="00A427CB"/>
    <w:rsid w:val="00A4455F"/>
    <w:rsid w:val="00A476D5"/>
    <w:rsid w:val="00A478BA"/>
    <w:rsid w:val="00A47A74"/>
    <w:rsid w:val="00A47BA8"/>
    <w:rsid w:val="00A520D3"/>
    <w:rsid w:val="00A52A53"/>
    <w:rsid w:val="00A61BAC"/>
    <w:rsid w:val="00A62080"/>
    <w:rsid w:val="00A679A4"/>
    <w:rsid w:val="00A70A1F"/>
    <w:rsid w:val="00A7757E"/>
    <w:rsid w:val="00A777D4"/>
    <w:rsid w:val="00A80C6E"/>
    <w:rsid w:val="00A815E7"/>
    <w:rsid w:val="00A856A9"/>
    <w:rsid w:val="00A90907"/>
    <w:rsid w:val="00A91A6F"/>
    <w:rsid w:val="00A97403"/>
    <w:rsid w:val="00AB1058"/>
    <w:rsid w:val="00AB1EF4"/>
    <w:rsid w:val="00AB2F64"/>
    <w:rsid w:val="00AB6A74"/>
    <w:rsid w:val="00AB7266"/>
    <w:rsid w:val="00AC07FD"/>
    <w:rsid w:val="00AC487C"/>
    <w:rsid w:val="00AC770B"/>
    <w:rsid w:val="00AD1DE7"/>
    <w:rsid w:val="00AD20C7"/>
    <w:rsid w:val="00AD27E8"/>
    <w:rsid w:val="00AD68C3"/>
    <w:rsid w:val="00AD7BC7"/>
    <w:rsid w:val="00AE1D70"/>
    <w:rsid w:val="00AE2023"/>
    <w:rsid w:val="00AE2141"/>
    <w:rsid w:val="00AE277E"/>
    <w:rsid w:val="00AE465C"/>
    <w:rsid w:val="00AE49F0"/>
    <w:rsid w:val="00AE508E"/>
    <w:rsid w:val="00AE7EAE"/>
    <w:rsid w:val="00AF15B4"/>
    <w:rsid w:val="00AF3122"/>
    <w:rsid w:val="00AF3B32"/>
    <w:rsid w:val="00AF4247"/>
    <w:rsid w:val="00AF5441"/>
    <w:rsid w:val="00AF554C"/>
    <w:rsid w:val="00B013D7"/>
    <w:rsid w:val="00B0432F"/>
    <w:rsid w:val="00B050F1"/>
    <w:rsid w:val="00B051D4"/>
    <w:rsid w:val="00B07A1A"/>
    <w:rsid w:val="00B10F56"/>
    <w:rsid w:val="00B176CE"/>
    <w:rsid w:val="00B24F97"/>
    <w:rsid w:val="00B259E2"/>
    <w:rsid w:val="00B25F40"/>
    <w:rsid w:val="00B31E1F"/>
    <w:rsid w:val="00B3451C"/>
    <w:rsid w:val="00B35580"/>
    <w:rsid w:val="00B4491E"/>
    <w:rsid w:val="00B45A31"/>
    <w:rsid w:val="00B463FC"/>
    <w:rsid w:val="00B504E4"/>
    <w:rsid w:val="00B540C7"/>
    <w:rsid w:val="00B565EE"/>
    <w:rsid w:val="00B6016D"/>
    <w:rsid w:val="00B61B0B"/>
    <w:rsid w:val="00B72D2B"/>
    <w:rsid w:val="00B74FFC"/>
    <w:rsid w:val="00B7776A"/>
    <w:rsid w:val="00B92933"/>
    <w:rsid w:val="00B94F6B"/>
    <w:rsid w:val="00B95426"/>
    <w:rsid w:val="00BA6F46"/>
    <w:rsid w:val="00BB2902"/>
    <w:rsid w:val="00BB31B8"/>
    <w:rsid w:val="00BB4ADE"/>
    <w:rsid w:val="00BB5856"/>
    <w:rsid w:val="00BB70BD"/>
    <w:rsid w:val="00BC1BAB"/>
    <w:rsid w:val="00BC64D4"/>
    <w:rsid w:val="00BD1F9D"/>
    <w:rsid w:val="00BD4265"/>
    <w:rsid w:val="00BD7815"/>
    <w:rsid w:val="00BE0D96"/>
    <w:rsid w:val="00BE18D8"/>
    <w:rsid w:val="00BE3064"/>
    <w:rsid w:val="00BE514C"/>
    <w:rsid w:val="00BE53B6"/>
    <w:rsid w:val="00BF116A"/>
    <w:rsid w:val="00BF5285"/>
    <w:rsid w:val="00BF5FAB"/>
    <w:rsid w:val="00C00725"/>
    <w:rsid w:val="00C00934"/>
    <w:rsid w:val="00C01492"/>
    <w:rsid w:val="00C01500"/>
    <w:rsid w:val="00C04441"/>
    <w:rsid w:val="00C100F2"/>
    <w:rsid w:val="00C12F18"/>
    <w:rsid w:val="00C14752"/>
    <w:rsid w:val="00C1749B"/>
    <w:rsid w:val="00C215B3"/>
    <w:rsid w:val="00C310C1"/>
    <w:rsid w:val="00C32CBE"/>
    <w:rsid w:val="00C3501F"/>
    <w:rsid w:val="00C37AC2"/>
    <w:rsid w:val="00C42009"/>
    <w:rsid w:val="00C4327F"/>
    <w:rsid w:val="00C43E84"/>
    <w:rsid w:val="00C475D7"/>
    <w:rsid w:val="00C53F0B"/>
    <w:rsid w:val="00C55212"/>
    <w:rsid w:val="00C55DA6"/>
    <w:rsid w:val="00C56EE3"/>
    <w:rsid w:val="00C6129A"/>
    <w:rsid w:val="00C61ECC"/>
    <w:rsid w:val="00C62E84"/>
    <w:rsid w:val="00C6605C"/>
    <w:rsid w:val="00C73BA1"/>
    <w:rsid w:val="00C74567"/>
    <w:rsid w:val="00C75CA9"/>
    <w:rsid w:val="00C82AF0"/>
    <w:rsid w:val="00C858D8"/>
    <w:rsid w:val="00C86E1D"/>
    <w:rsid w:val="00C97ECE"/>
    <w:rsid w:val="00CA02C5"/>
    <w:rsid w:val="00CA364E"/>
    <w:rsid w:val="00CB158A"/>
    <w:rsid w:val="00CB2B7E"/>
    <w:rsid w:val="00CB33AE"/>
    <w:rsid w:val="00CB4310"/>
    <w:rsid w:val="00CC156F"/>
    <w:rsid w:val="00CD4FE4"/>
    <w:rsid w:val="00CD7896"/>
    <w:rsid w:val="00CD7BF9"/>
    <w:rsid w:val="00CE3E58"/>
    <w:rsid w:val="00CF0D04"/>
    <w:rsid w:val="00CF2B32"/>
    <w:rsid w:val="00CF34E5"/>
    <w:rsid w:val="00CF7E84"/>
    <w:rsid w:val="00D00199"/>
    <w:rsid w:val="00D034B1"/>
    <w:rsid w:val="00D03C5B"/>
    <w:rsid w:val="00D0473A"/>
    <w:rsid w:val="00D06073"/>
    <w:rsid w:val="00D0607F"/>
    <w:rsid w:val="00D0637C"/>
    <w:rsid w:val="00D06B78"/>
    <w:rsid w:val="00D07EB5"/>
    <w:rsid w:val="00D140B5"/>
    <w:rsid w:val="00D14A8C"/>
    <w:rsid w:val="00D14AFD"/>
    <w:rsid w:val="00D150ED"/>
    <w:rsid w:val="00D16D1E"/>
    <w:rsid w:val="00D24FC9"/>
    <w:rsid w:val="00D3144B"/>
    <w:rsid w:val="00D356CB"/>
    <w:rsid w:val="00D35C5C"/>
    <w:rsid w:val="00D41F3C"/>
    <w:rsid w:val="00D45A5C"/>
    <w:rsid w:val="00D4624F"/>
    <w:rsid w:val="00D4730F"/>
    <w:rsid w:val="00D50DD9"/>
    <w:rsid w:val="00D5371C"/>
    <w:rsid w:val="00D561A8"/>
    <w:rsid w:val="00D6794B"/>
    <w:rsid w:val="00D67C75"/>
    <w:rsid w:val="00D7233A"/>
    <w:rsid w:val="00D7340C"/>
    <w:rsid w:val="00D74C1C"/>
    <w:rsid w:val="00D767E5"/>
    <w:rsid w:val="00D810BE"/>
    <w:rsid w:val="00D81803"/>
    <w:rsid w:val="00D851A0"/>
    <w:rsid w:val="00D911D1"/>
    <w:rsid w:val="00D93FB2"/>
    <w:rsid w:val="00DA29C2"/>
    <w:rsid w:val="00DA4242"/>
    <w:rsid w:val="00DA5E50"/>
    <w:rsid w:val="00DB224A"/>
    <w:rsid w:val="00DB2DBC"/>
    <w:rsid w:val="00DB3D34"/>
    <w:rsid w:val="00DB5A36"/>
    <w:rsid w:val="00DC0DD0"/>
    <w:rsid w:val="00DC1120"/>
    <w:rsid w:val="00DC3245"/>
    <w:rsid w:val="00DD1A39"/>
    <w:rsid w:val="00DD399E"/>
    <w:rsid w:val="00DD50C1"/>
    <w:rsid w:val="00DD5505"/>
    <w:rsid w:val="00DD6550"/>
    <w:rsid w:val="00DD7667"/>
    <w:rsid w:val="00DE4A6C"/>
    <w:rsid w:val="00E01802"/>
    <w:rsid w:val="00E0557C"/>
    <w:rsid w:val="00E1040D"/>
    <w:rsid w:val="00E10D64"/>
    <w:rsid w:val="00E1158A"/>
    <w:rsid w:val="00E1203B"/>
    <w:rsid w:val="00E14585"/>
    <w:rsid w:val="00E209C8"/>
    <w:rsid w:val="00E2606F"/>
    <w:rsid w:val="00E27555"/>
    <w:rsid w:val="00E3090E"/>
    <w:rsid w:val="00E312FE"/>
    <w:rsid w:val="00E411D9"/>
    <w:rsid w:val="00E43083"/>
    <w:rsid w:val="00E43512"/>
    <w:rsid w:val="00E439A7"/>
    <w:rsid w:val="00E4573A"/>
    <w:rsid w:val="00E52D3E"/>
    <w:rsid w:val="00E5636C"/>
    <w:rsid w:val="00E564AA"/>
    <w:rsid w:val="00E57538"/>
    <w:rsid w:val="00E60E6B"/>
    <w:rsid w:val="00E6510E"/>
    <w:rsid w:val="00E665AE"/>
    <w:rsid w:val="00E71A47"/>
    <w:rsid w:val="00E744F4"/>
    <w:rsid w:val="00E74B9D"/>
    <w:rsid w:val="00E75A98"/>
    <w:rsid w:val="00E8669E"/>
    <w:rsid w:val="00EA02B0"/>
    <w:rsid w:val="00EA2B70"/>
    <w:rsid w:val="00EA5B0A"/>
    <w:rsid w:val="00EB00C3"/>
    <w:rsid w:val="00EB48F1"/>
    <w:rsid w:val="00EB6173"/>
    <w:rsid w:val="00EB70BB"/>
    <w:rsid w:val="00EC0B3E"/>
    <w:rsid w:val="00EC0E93"/>
    <w:rsid w:val="00EC1A00"/>
    <w:rsid w:val="00EC512C"/>
    <w:rsid w:val="00ED40B7"/>
    <w:rsid w:val="00EF1C48"/>
    <w:rsid w:val="00EF2B00"/>
    <w:rsid w:val="00EF3323"/>
    <w:rsid w:val="00EF36AA"/>
    <w:rsid w:val="00EF41B7"/>
    <w:rsid w:val="00EF60FC"/>
    <w:rsid w:val="00EF68F8"/>
    <w:rsid w:val="00EF6E5F"/>
    <w:rsid w:val="00F02026"/>
    <w:rsid w:val="00F042F2"/>
    <w:rsid w:val="00F04A6F"/>
    <w:rsid w:val="00F11542"/>
    <w:rsid w:val="00F163D5"/>
    <w:rsid w:val="00F16531"/>
    <w:rsid w:val="00F16AFA"/>
    <w:rsid w:val="00F173A9"/>
    <w:rsid w:val="00F22910"/>
    <w:rsid w:val="00F253ED"/>
    <w:rsid w:val="00F27161"/>
    <w:rsid w:val="00F302BE"/>
    <w:rsid w:val="00F31F9B"/>
    <w:rsid w:val="00F35BC1"/>
    <w:rsid w:val="00F361D9"/>
    <w:rsid w:val="00F36A35"/>
    <w:rsid w:val="00F374FF"/>
    <w:rsid w:val="00F37D2F"/>
    <w:rsid w:val="00F414E5"/>
    <w:rsid w:val="00F45B6B"/>
    <w:rsid w:val="00F469C1"/>
    <w:rsid w:val="00F50FD5"/>
    <w:rsid w:val="00F5143B"/>
    <w:rsid w:val="00F51F7D"/>
    <w:rsid w:val="00F54FF4"/>
    <w:rsid w:val="00F55009"/>
    <w:rsid w:val="00F611E8"/>
    <w:rsid w:val="00F6260E"/>
    <w:rsid w:val="00F64B42"/>
    <w:rsid w:val="00F65D44"/>
    <w:rsid w:val="00F67FA5"/>
    <w:rsid w:val="00F7732C"/>
    <w:rsid w:val="00F84B9F"/>
    <w:rsid w:val="00F85A29"/>
    <w:rsid w:val="00F877BA"/>
    <w:rsid w:val="00F87820"/>
    <w:rsid w:val="00F87C0C"/>
    <w:rsid w:val="00FA4961"/>
    <w:rsid w:val="00FA4AC3"/>
    <w:rsid w:val="00FA5F3B"/>
    <w:rsid w:val="00FA62C7"/>
    <w:rsid w:val="00FB08C8"/>
    <w:rsid w:val="00FB369E"/>
    <w:rsid w:val="00FB46D1"/>
    <w:rsid w:val="00FC0532"/>
    <w:rsid w:val="00FC132D"/>
    <w:rsid w:val="00FC1EC8"/>
    <w:rsid w:val="00FC6C59"/>
    <w:rsid w:val="00FD1785"/>
    <w:rsid w:val="00FD5F07"/>
    <w:rsid w:val="00FD6335"/>
    <w:rsid w:val="00FD6693"/>
    <w:rsid w:val="00FD7C51"/>
    <w:rsid w:val="00FD7C76"/>
    <w:rsid w:val="00FE03C2"/>
    <w:rsid w:val="00FE3501"/>
    <w:rsid w:val="00FE4984"/>
    <w:rsid w:val="00FE6824"/>
    <w:rsid w:val="00FE714F"/>
    <w:rsid w:val="00FE7C3D"/>
    <w:rsid w:val="00FF1C9A"/>
    <w:rsid w:val="0295FCC7"/>
    <w:rsid w:val="03532353"/>
    <w:rsid w:val="039F748F"/>
    <w:rsid w:val="058E8283"/>
    <w:rsid w:val="05D3BD53"/>
    <w:rsid w:val="0816EA2D"/>
    <w:rsid w:val="0889FDE3"/>
    <w:rsid w:val="0CD10C6B"/>
    <w:rsid w:val="0E229E6D"/>
    <w:rsid w:val="0EE353F9"/>
    <w:rsid w:val="11F99CD9"/>
    <w:rsid w:val="136B554E"/>
    <w:rsid w:val="161A19AD"/>
    <w:rsid w:val="16D41117"/>
    <w:rsid w:val="18D0FD1C"/>
    <w:rsid w:val="1AC67B37"/>
    <w:rsid w:val="1B7F25BB"/>
    <w:rsid w:val="1EC2A7AC"/>
    <w:rsid w:val="22C1EEA5"/>
    <w:rsid w:val="235F1516"/>
    <w:rsid w:val="25565206"/>
    <w:rsid w:val="2683A165"/>
    <w:rsid w:val="2A29C329"/>
    <w:rsid w:val="2C2CB5DA"/>
    <w:rsid w:val="2D6163EB"/>
    <w:rsid w:val="2D8CCD1F"/>
    <w:rsid w:val="2E50D06D"/>
    <w:rsid w:val="2EE38639"/>
    <w:rsid w:val="326F853F"/>
    <w:rsid w:val="32A6DF97"/>
    <w:rsid w:val="37CC8FA0"/>
    <w:rsid w:val="392AB447"/>
    <w:rsid w:val="3D545E6D"/>
    <w:rsid w:val="3DB66F9A"/>
    <w:rsid w:val="3FA1E957"/>
    <w:rsid w:val="48990752"/>
    <w:rsid w:val="4ABC8E30"/>
    <w:rsid w:val="4D63484B"/>
    <w:rsid w:val="4FD89B5F"/>
    <w:rsid w:val="518D2A97"/>
    <w:rsid w:val="51F8A25E"/>
    <w:rsid w:val="55B2222F"/>
    <w:rsid w:val="589CFAA4"/>
    <w:rsid w:val="5945FDB3"/>
    <w:rsid w:val="5ADBDB26"/>
    <w:rsid w:val="5C2B5F65"/>
    <w:rsid w:val="5DFF91AB"/>
    <w:rsid w:val="618D04E2"/>
    <w:rsid w:val="637E1A54"/>
    <w:rsid w:val="67917C49"/>
    <w:rsid w:val="6794E132"/>
    <w:rsid w:val="6A30695C"/>
    <w:rsid w:val="6C4C5C87"/>
    <w:rsid w:val="708628C6"/>
    <w:rsid w:val="71DEA56B"/>
    <w:rsid w:val="71FAAC7D"/>
    <w:rsid w:val="749EF735"/>
    <w:rsid w:val="74D119A5"/>
    <w:rsid w:val="75119248"/>
    <w:rsid w:val="78D380E2"/>
    <w:rsid w:val="7904CFAE"/>
    <w:rsid w:val="7951593D"/>
    <w:rsid w:val="7AA0A00F"/>
    <w:rsid w:val="7BDC28A0"/>
    <w:rsid w:val="7C23DD5F"/>
    <w:rsid w:val="7D2E662E"/>
    <w:rsid w:val="7D6D8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39E9"/>
    <w:rPr>
      <w:rFonts w:ascii="TimesNewRomanPS-BoldMT" w:hAnsi="TimesNewRomanPS-BoldMT" w:hint="default"/>
      <w:b/>
      <w:bCs/>
      <w:i w:val="0"/>
      <w:iCs w:val="0"/>
      <w:color w:val="212121"/>
      <w:sz w:val="26"/>
      <w:szCs w:val="26"/>
    </w:rPr>
  </w:style>
  <w:style w:type="character" w:customStyle="1" w:styleId="fontstyle21">
    <w:name w:val="fontstyle21"/>
    <w:basedOn w:val="a0"/>
    <w:rsid w:val="002039E9"/>
    <w:rPr>
      <w:rFonts w:ascii="TimesNewRomanPSMT" w:hAnsi="TimesNewRomanPSMT" w:hint="default"/>
      <w:b w:val="0"/>
      <w:bCs w:val="0"/>
      <w:i w:val="0"/>
      <w:iCs w:val="0"/>
      <w:color w:val="212121"/>
      <w:sz w:val="26"/>
      <w:szCs w:val="26"/>
    </w:rPr>
  </w:style>
  <w:style w:type="paragraph" w:styleId="a3">
    <w:name w:val="No Spacing"/>
    <w:link w:val="a4"/>
    <w:uiPriority w:val="1"/>
    <w:qFormat/>
    <w:rsid w:val="002039E9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5">
    <w:name w:val="Table Grid"/>
    <w:basedOn w:val="a1"/>
    <w:uiPriority w:val="59"/>
    <w:rsid w:val="0020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39E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312F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8546F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63498B"/>
    <w:pPr>
      <w:jc w:val="both"/>
    </w:pPr>
    <w:rPr>
      <w:color w:val="000000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63498B"/>
    <w:rPr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88015E"/>
    <w:pPr>
      <w:tabs>
        <w:tab w:val="left" w:pos="1080"/>
      </w:tabs>
      <w:spacing w:after="0" w:line="240" w:lineRule="auto"/>
      <w:jc w:val="both"/>
    </w:pPr>
    <w:rPr>
      <w:rFonts w:ascii="Times New Roman" w:hAnsi="Times New Roman" w:cs="Times New Roman"/>
      <w:color w:val="222222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88015E"/>
    <w:rPr>
      <w:rFonts w:ascii="Times New Roman" w:hAnsi="Times New Roman" w:cs="Times New Roman"/>
      <w:color w:val="222222"/>
      <w:sz w:val="24"/>
      <w:szCs w:val="24"/>
      <w:lang w:val="uk-UA"/>
    </w:rPr>
  </w:style>
  <w:style w:type="character" w:styleId="ab">
    <w:name w:val="line number"/>
    <w:basedOn w:val="a0"/>
    <w:uiPriority w:val="99"/>
    <w:semiHidden/>
    <w:unhideWhenUsed/>
    <w:rsid w:val="002A7626"/>
  </w:style>
  <w:style w:type="paragraph" w:styleId="ac">
    <w:name w:val="header"/>
    <w:basedOn w:val="a"/>
    <w:link w:val="ad"/>
    <w:uiPriority w:val="99"/>
    <w:unhideWhenUsed/>
    <w:rsid w:val="002A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7626"/>
  </w:style>
  <w:style w:type="paragraph" w:styleId="ae">
    <w:name w:val="footer"/>
    <w:basedOn w:val="a"/>
    <w:link w:val="af"/>
    <w:uiPriority w:val="99"/>
    <w:unhideWhenUsed/>
    <w:rsid w:val="002A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7626"/>
  </w:style>
  <w:style w:type="paragraph" w:styleId="af0">
    <w:name w:val="Balloon Text"/>
    <w:basedOn w:val="a"/>
    <w:link w:val="af1"/>
    <w:uiPriority w:val="99"/>
    <w:semiHidden/>
    <w:unhideWhenUsed/>
    <w:rsid w:val="00EA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5B0A"/>
    <w:rPr>
      <w:rFonts w:ascii="Segoe UI" w:hAnsi="Segoe UI" w:cs="Segoe UI"/>
      <w:sz w:val="18"/>
      <w:szCs w:val="18"/>
    </w:rPr>
  </w:style>
  <w:style w:type="character" w:styleId="af2">
    <w:name w:val="Strong"/>
    <w:basedOn w:val="a0"/>
    <w:uiPriority w:val="22"/>
    <w:qFormat/>
    <w:rsid w:val="00E209C8"/>
    <w:rPr>
      <w:b/>
      <w:bCs/>
    </w:rPr>
  </w:style>
  <w:style w:type="paragraph" w:styleId="af3">
    <w:name w:val="Normal (Web)"/>
    <w:basedOn w:val="a"/>
    <w:uiPriority w:val="99"/>
    <w:unhideWhenUsed/>
    <w:rsid w:val="00E2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C1749B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font8">
    <w:name w:val="font_8"/>
    <w:basedOn w:val="a"/>
    <w:rsid w:val="007E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annotation reference"/>
    <w:basedOn w:val="a0"/>
    <w:uiPriority w:val="99"/>
    <w:semiHidden/>
    <w:unhideWhenUsed/>
    <w:rsid w:val="00A9740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A9740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A9740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740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97403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6A74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177DDE"/>
    <w:pPr>
      <w:spacing w:after="0" w:line="240" w:lineRule="auto"/>
    </w:pPr>
  </w:style>
  <w:style w:type="character" w:customStyle="1" w:styleId="contentpasted01">
    <w:name w:val="contentpasted01"/>
    <w:basedOn w:val="a0"/>
    <w:rsid w:val="00944700"/>
  </w:style>
  <w:style w:type="character" w:styleId="afa">
    <w:name w:val="Placeholder Text"/>
    <w:basedOn w:val="a0"/>
    <w:uiPriority w:val="99"/>
    <w:semiHidden/>
    <w:rsid w:val="00C215B3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2B142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uk-UA"/>
    </w:rPr>
  </w:style>
  <w:style w:type="character" w:customStyle="1" w:styleId="a4">
    <w:name w:val="Без интервала Знак"/>
    <w:link w:val="a3"/>
    <w:uiPriority w:val="1"/>
    <w:locked/>
    <w:rsid w:val="002B142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rc.gov.ua/?id=519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gov.ua/?id=5197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36a00-5e1a-44a9-92f6-8312b90b6eca">
      <Terms xmlns="http://schemas.microsoft.com/office/infopath/2007/PartnerControls"/>
    </lcf76f155ced4ddcb4097134ff3c332f>
    <TaxCatchAll xmlns="93429a4d-cb6c-49b1-9070-be8f0ae99f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E2186BA8BE8B4E9D5056A0CBF5C200" ma:contentTypeVersion="15" ma:contentTypeDescription="Створення нового документа." ma:contentTypeScope="" ma:versionID="1c2e987935c934ceff46c1f578eddfdb">
  <xsd:schema xmlns:xsd="http://www.w3.org/2001/XMLSchema" xmlns:xs="http://www.w3.org/2001/XMLSchema" xmlns:p="http://schemas.microsoft.com/office/2006/metadata/properties" xmlns:ns2="93429a4d-cb6c-49b1-9070-be8f0ae99fb6" xmlns:ns3="42036a00-5e1a-44a9-92f6-8312b90b6eca" targetNamespace="http://schemas.microsoft.com/office/2006/metadata/properties" ma:root="true" ma:fieldsID="2146f809d3391de1402900b973696c94" ns2:_="" ns3:_="">
    <xsd:import namespace="93429a4d-cb6c-49b1-9070-be8f0ae99fb6"/>
    <xsd:import namespace="42036a00-5e1a-44a9-92f6-8312b90b6e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9a4d-cb6c-49b1-9070-be8f0ae99f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b3bf0d-f113-492d-952d-06b2c12f8705}" ma:internalName="TaxCatchAll" ma:showField="CatchAllData" ma:web="93429a4d-cb6c-49b1-9070-be8f0ae99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a00-5e1a-44a9-92f6-8312b90b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888ab3-4963-42b7-97df-21ddca73b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E94C-E441-455A-8F4A-DDBB029019C6}">
  <ds:schemaRefs>
    <ds:schemaRef ds:uri="http://schemas.microsoft.com/office/2006/metadata/properties"/>
    <ds:schemaRef ds:uri="http://schemas.microsoft.com/office/infopath/2007/PartnerControls"/>
    <ds:schemaRef ds:uri="42036a00-5e1a-44a9-92f6-8312b90b6eca"/>
    <ds:schemaRef ds:uri="93429a4d-cb6c-49b1-9070-be8f0ae99fb6"/>
  </ds:schemaRefs>
</ds:datastoreItem>
</file>

<file path=customXml/itemProps2.xml><?xml version="1.0" encoding="utf-8"?>
<ds:datastoreItem xmlns:ds="http://schemas.openxmlformats.org/officeDocument/2006/customXml" ds:itemID="{3C8941CA-4CA1-4795-9CEC-F2FAD71CA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29a4d-cb6c-49b1-9070-be8f0ae99fb6"/>
    <ds:schemaRef ds:uri="42036a00-5e1a-44a9-92f6-8312b90b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54E1C-4DA4-4634-BDD2-87BDEFCBC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86863-B9B1-4EFF-99D3-E9F2618F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"Сумыхмпром"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O</dc:creator>
  <cp:lastModifiedBy>l.v.lichkevich</cp:lastModifiedBy>
  <cp:revision>2</cp:revision>
  <cp:lastPrinted>2022-11-28T08:04:00Z</cp:lastPrinted>
  <dcterms:created xsi:type="dcterms:W3CDTF">2024-10-22T07:10:00Z</dcterms:created>
  <dcterms:modified xsi:type="dcterms:W3CDTF">2024-10-22T07:10:00Z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0x010100EAE2186BA8BE8B4E9D5056A0CBF5C200</vt:lpwstr>
  </property>
  <property fmtid="{D5CDD505-2E9C-101B-9397-08002B2CF9AE}" pid="3" name="MediaServiceImageTags">
    <vt:lpwstr/>
  </property>
</Properties>
</file>